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F" w:rsidRPr="00FD17C6" w:rsidRDefault="00B32413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6" o:title=""/>
            <w10:wrap anchory="page"/>
          </v:shape>
          <o:OLEObject Type="Embed" ProgID="Word.Picture.8" ShapeID="_x0000_s1026" DrawAspect="Content" ObjectID="_1650193762" r:id="rId7"/>
        </w:object>
      </w:r>
      <w:r w:rsidR="007D46CF" w:rsidRPr="00FD17C6">
        <w:rPr>
          <w:rFonts w:cstheme="minorHAnsi"/>
          <w:b/>
        </w:rPr>
        <w:t>Stellenausschreibung für die Stellenbörse der DGEpi</w:t>
      </w:r>
      <w:r w:rsidR="008E7B71">
        <w:rPr>
          <w:rFonts w:cstheme="minorHAnsi"/>
          <w:b/>
        </w:rPr>
        <w:t xml:space="preserve"> </w:t>
      </w:r>
      <w:r w:rsidR="007D46CF" w:rsidRPr="00FD17C6">
        <w:rPr>
          <w:rFonts w:cstheme="minorHAnsi"/>
          <w:b/>
        </w:rPr>
        <w:t>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2720"/>
        <w:gridCol w:w="6773"/>
      </w:tblGrid>
      <w:tr w:rsidR="008D5173" w:rsidRPr="008A03BD" w:rsidTr="00FD17C6">
        <w:tc>
          <w:tcPr>
            <w:tcW w:w="2720" w:type="dxa"/>
          </w:tcPr>
          <w:p w:rsidR="002B249E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:rsidR="007D46CF" w:rsidRPr="00FD17C6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:rsidR="007D46CF" w:rsidRPr="009059DC" w:rsidRDefault="009059DC" w:rsidP="009059DC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t xml:space="preserve">Scientist </w:t>
            </w:r>
            <w:r w:rsidR="00EB06E7">
              <w:rPr>
                <w:rFonts w:eastAsia="Times New Roman" w:cstheme="minorHAnsi"/>
                <w:b/>
                <w:bCs/>
                <w:lang w:val="en-US" w:eastAsia="de-DE"/>
              </w:rPr>
              <w:t xml:space="preserve"> (</w:t>
            </w:r>
            <w:r>
              <w:rPr>
                <w:rFonts w:eastAsia="Times New Roman" w:cstheme="minorHAnsi"/>
                <w:b/>
                <w:bCs/>
                <w:lang w:val="en-US" w:eastAsia="de-DE"/>
              </w:rPr>
              <w:t xml:space="preserve"> PhD </w:t>
            </w:r>
            <w:r w:rsidRPr="009059DC">
              <w:rPr>
                <w:rFonts w:eastAsia="Times New Roman" w:cstheme="minorHAnsi"/>
                <w:b/>
                <w:bCs/>
                <w:lang w:val="en-US" w:eastAsia="de-DE"/>
              </w:rPr>
              <w:t xml:space="preserve">or equivalent, </w:t>
            </w:r>
            <w:r>
              <w:rPr>
                <w:rFonts w:eastAsia="Times New Roman" w:cstheme="minorHAnsi"/>
                <w:b/>
                <w:bCs/>
                <w:lang w:val="en-US" w:eastAsia="de-DE"/>
              </w:rPr>
              <w:t>.e.g.</w:t>
            </w:r>
            <w:r w:rsidRPr="009059DC">
              <w:rPr>
                <w:rFonts w:eastAsia="Times New Roman" w:cstheme="minorHAnsi"/>
                <w:b/>
                <w:bCs/>
                <w:lang w:val="en-US" w:eastAsia="de-DE"/>
              </w:rPr>
              <w:t xml:space="preserve"> MD/MPH in epidem</w:t>
            </w:r>
            <w:r>
              <w:rPr>
                <w:rFonts w:eastAsia="Times New Roman" w:cstheme="minorHAnsi"/>
                <w:b/>
                <w:bCs/>
                <w:lang w:val="en-US" w:eastAsia="de-DE"/>
              </w:rPr>
              <w:t>iology or closely related field</w:t>
            </w:r>
            <w:r w:rsidR="00EB06E7">
              <w:rPr>
                <w:rFonts w:eastAsia="Times New Roman" w:cstheme="minorHAnsi"/>
                <w:b/>
                <w:bCs/>
                <w:lang w:val="en-US" w:eastAsia="de-DE"/>
              </w:rPr>
              <w:t xml:space="preserve">) </w:t>
            </w:r>
            <w:r>
              <w:rPr>
                <w:rFonts w:eastAsia="Times New Roman" w:cstheme="minorHAnsi"/>
                <w:b/>
                <w:bCs/>
                <w:lang w:val="en-US" w:eastAsia="de-DE"/>
              </w:rPr>
              <w:t xml:space="preserve"> </w:t>
            </w:r>
            <w:r w:rsidRPr="009059DC">
              <w:rPr>
                <w:rFonts w:eastAsia="Times New Roman" w:cstheme="minorHAnsi"/>
                <w:b/>
                <w:bCs/>
                <w:lang w:val="en-US" w:eastAsia="de-DE"/>
              </w:rPr>
              <w:t>(2001979)</w:t>
            </w:r>
          </w:p>
        </w:tc>
      </w:tr>
      <w:tr w:rsidR="008D5173" w:rsidRPr="009059DC" w:rsidTr="00FD17C6">
        <w:tc>
          <w:tcPr>
            <w:tcW w:w="2720" w:type="dxa"/>
          </w:tcPr>
          <w:p w:rsidR="007D46CF" w:rsidRPr="009059DC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  <w:lang w:val="en-US"/>
              </w:rPr>
            </w:pPr>
            <w:proofErr w:type="spellStart"/>
            <w:r w:rsidRPr="009059DC">
              <w:rPr>
                <w:rFonts w:eastAsia="Times New Roman" w:cstheme="minorHAnsi"/>
                <w:b/>
                <w:lang w:val="en-US"/>
              </w:rPr>
              <w:t>Arbeitgeber</w:t>
            </w:r>
            <w:proofErr w:type="spellEnd"/>
            <w:r w:rsidR="008E7B71" w:rsidRPr="009059DC">
              <w:rPr>
                <w:rFonts w:eastAsia="Times New Roman" w:cstheme="minorHAnsi"/>
                <w:b/>
                <w:lang w:val="en-US"/>
              </w:rPr>
              <w:t xml:space="preserve"> </w:t>
            </w:r>
            <w:r w:rsidRPr="009059DC">
              <w:rPr>
                <w:rFonts w:eastAsia="Times New Roman" w:cstheme="minorHAnsi"/>
                <w:b/>
                <w:lang w:val="en-US"/>
              </w:rPr>
              <w:t>/</w:t>
            </w:r>
            <w:r w:rsidRPr="009059DC">
              <w:rPr>
                <w:rFonts w:eastAsia="Times New Roman" w:cstheme="minorHAnsi"/>
                <w:b/>
                <w:lang w:val="en-US"/>
              </w:rPr>
              <w:br/>
              <w:t>Employer</w:t>
            </w:r>
            <w:r w:rsidR="002B249E" w:rsidRPr="009059DC">
              <w:rPr>
                <w:rFonts w:eastAsia="Times New Roman" w:cstheme="minorHAnsi"/>
                <w:b/>
                <w:lang w:val="en-US"/>
              </w:rPr>
              <w:br/>
            </w:r>
            <w:r w:rsidR="00FD17C6" w:rsidRPr="009059DC">
              <w:rPr>
                <w:rFonts w:eastAsia="Times New Roman" w:cstheme="minorHAnsi"/>
                <w:b/>
                <w:lang w:val="en-US"/>
              </w:rPr>
              <w:br/>
            </w:r>
          </w:p>
        </w:tc>
        <w:tc>
          <w:tcPr>
            <w:tcW w:w="6773" w:type="dxa"/>
          </w:tcPr>
          <w:p w:rsidR="007D46CF" w:rsidRPr="009059DC" w:rsidRDefault="009059DC" w:rsidP="009059DC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  <w:lang w:val="en-US"/>
              </w:rPr>
            </w:pPr>
            <w:r w:rsidRPr="009059DC">
              <w:rPr>
                <w:rFonts w:eastAsia="Times New Roman" w:cstheme="minorHAnsi"/>
                <w:b/>
                <w:lang w:val="en-US"/>
              </w:rPr>
              <w:t>IARC Monographs</w:t>
            </w:r>
          </w:p>
        </w:tc>
      </w:tr>
      <w:tr w:rsidR="008D5173" w:rsidRPr="009059DC" w:rsidTr="00FD17C6">
        <w:tc>
          <w:tcPr>
            <w:tcW w:w="2720" w:type="dxa"/>
          </w:tcPr>
          <w:p w:rsidR="007D46CF" w:rsidRPr="009059DC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  <w:lang w:val="en-US"/>
              </w:rPr>
            </w:pPr>
            <w:proofErr w:type="spellStart"/>
            <w:r w:rsidRPr="009059DC">
              <w:rPr>
                <w:rFonts w:eastAsia="Times New Roman" w:cstheme="minorHAnsi"/>
                <w:b/>
                <w:lang w:val="en-US"/>
              </w:rPr>
              <w:t>Arbeitsort</w:t>
            </w:r>
            <w:proofErr w:type="spellEnd"/>
            <w:r w:rsidR="008E7B71" w:rsidRPr="009059DC">
              <w:rPr>
                <w:rFonts w:eastAsia="Times New Roman" w:cstheme="minorHAnsi"/>
                <w:b/>
                <w:lang w:val="en-US"/>
              </w:rPr>
              <w:t xml:space="preserve"> </w:t>
            </w:r>
            <w:r w:rsidRPr="009059DC">
              <w:rPr>
                <w:rFonts w:eastAsia="Times New Roman" w:cstheme="minorHAnsi"/>
                <w:b/>
                <w:lang w:val="en-US"/>
              </w:rPr>
              <w:t>/</w:t>
            </w:r>
            <w:r w:rsidRPr="009059DC">
              <w:rPr>
                <w:rFonts w:eastAsia="Times New Roman" w:cstheme="minorHAnsi"/>
                <w:b/>
                <w:lang w:val="en-US"/>
              </w:rPr>
              <w:br/>
              <w:t>Location</w:t>
            </w:r>
            <w:r w:rsidR="002B249E" w:rsidRPr="009059DC">
              <w:rPr>
                <w:rFonts w:eastAsia="Times New Roman" w:cstheme="minorHAnsi"/>
                <w:b/>
                <w:lang w:val="en-US"/>
              </w:rPr>
              <w:br/>
            </w:r>
            <w:r w:rsidR="00FD17C6" w:rsidRPr="009059DC">
              <w:rPr>
                <w:rFonts w:eastAsia="Times New Roman" w:cstheme="minorHAnsi"/>
                <w:b/>
                <w:lang w:val="en-US"/>
              </w:rPr>
              <w:br/>
            </w:r>
          </w:p>
        </w:tc>
        <w:tc>
          <w:tcPr>
            <w:tcW w:w="6773" w:type="dxa"/>
          </w:tcPr>
          <w:p w:rsidR="007D46CF" w:rsidRPr="009059DC" w:rsidRDefault="009059DC" w:rsidP="00F7764B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9059DC">
              <w:rPr>
                <w:rFonts w:eastAsia="Times New Roman" w:cstheme="minorHAnsi"/>
                <w:b/>
                <w:bCs/>
                <w:lang w:val="en-US" w:eastAsia="de-DE"/>
              </w:rPr>
              <w:t>Lyon, France</w:t>
            </w:r>
          </w:p>
        </w:tc>
      </w:tr>
      <w:tr w:rsidR="008D5173" w:rsidRPr="009059DC" w:rsidTr="00FD17C6">
        <w:tc>
          <w:tcPr>
            <w:tcW w:w="2720" w:type="dxa"/>
          </w:tcPr>
          <w:p w:rsidR="007D46CF" w:rsidRPr="009059DC" w:rsidRDefault="00FD17C6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  <w:lang w:val="en-US"/>
              </w:rPr>
            </w:pPr>
            <w:proofErr w:type="spellStart"/>
            <w:r w:rsidRPr="009059DC">
              <w:rPr>
                <w:rFonts w:eastAsia="Times New Roman" w:cstheme="minorHAnsi"/>
                <w:b/>
                <w:lang w:val="en-US"/>
              </w:rPr>
              <w:t>Gehalt</w:t>
            </w:r>
            <w:proofErr w:type="spellEnd"/>
            <w:r w:rsidRPr="009059DC">
              <w:rPr>
                <w:rFonts w:eastAsia="Times New Roman" w:cstheme="minorHAnsi"/>
                <w:b/>
                <w:lang w:val="en-US"/>
              </w:rPr>
              <w:t xml:space="preserve"> </w:t>
            </w:r>
            <w:proofErr w:type="spellStart"/>
            <w:r w:rsidRPr="009059DC">
              <w:rPr>
                <w:rFonts w:eastAsia="Times New Roman" w:cstheme="minorHAnsi"/>
                <w:b/>
                <w:lang w:val="en-US"/>
              </w:rPr>
              <w:t>bzw</w:t>
            </w:r>
            <w:proofErr w:type="spellEnd"/>
            <w:r w:rsidRPr="009059DC">
              <w:rPr>
                <w:rFonts w:eastAsia="Times New Roman" w:cstheme="minorHAnsi"/>
                <w:b/>
                <w:lang w:val="en-US"/>
              </w:rPr>
              <w:t xml:space="preserve">. </w:t>
            </w:r>
            <w:proofErr w:type="spellStart"/>
            <w:r w:rsidR="007D46CF" w:rsidRPr="009059DC">
              <w:rPr>
                <w:rFonts w:eastAsia="Times New Roman" w:cstheme="minorHAnsi"/>
                <w:b/>
                <w:lang w:val="en-US"/>
              </w:rPr>
              <w:t>Gehaltsstufe</w:t>
            </w:r>
            <w:proofErr w:type="spellEnd"/>
            <w:r w:rsidR="008E7B71" w:rsidRPr="009059DC">
              <w:rPr>
                <w:rFonts w:eastAsia="Times New Roman" w:cstheme="minorHAnsi"/>
                <w:b/>
                <w:lang w:val="en-US"/>
              </w:rPr>
              <w:t xml:space="preserve"> </w:t>
            </w:r>
            <w:r w:rsidR="007D46CF" w:rsidRPr="009059DC">
              <w:rPr>
                <w:rFonts w:eastAsia="Times New Roman" w:cstheme="minorHAnsi"/>
                <w:b/>
                <w:lang w:val="en-US"/>
              </w:rPr>
              <w:t>/</w:t>
            </w:r>
            <w:r w:rsidR="007D46CF" w:rsidRPr="009059DC">
              <w:rPr>
                <w:rFonts w:eastAsia="Times New Roman" w:cstheme="minorHAnsi"/>
                <w:b/>
                <w:lang w:val="en-US"/>
              </w:rPr>
              <w:br/>
              <w:t>Salary scale</w:t>
            </w:r>
            <w:r w:rsidR="002B249E" w:rsidRPr="009059DC">
              <w:rPr>
                <w:rFonts w:eastAsia="Times New Roman" w:cstheme="minorHAnsi"/>
                <w:b/>
                <w:lang w:val="en-US"/>
              </w:rPr>
              <w:br/>
            </w:r>
            <w:r w:rsidRPr="009059DC">
              <w:rPr>
                <w:rFonts w:eastAsia="Times New Roman" w:cstheme="minorHAnsi"/>
                <w:b/>
                <w:lang w:val="en-US"/>
              </w:rPr>
              <w:br/>
            </w:r>
          </w:p>
        </w:tc>
        <w:tc>
          <w:tcPr>
            <w:tcW w:w="6773" w:type="dxa"/>
          </w:tcPr>
          <w:p w:rsidR="007D46CF" w:rsidRPr="009059DC" w:rsidRDefault="009059DC" w:rsidP="009059DC">
            <w:pPr>
              <w:spacing w:before="100" w:beforeAutospacing="1" w:after="100" w:afterAutospacing="1"/>
              <w:rPr>
                <w:rFonts w:eastAsia="Times New Roman" w:cstheme="minorHAnsi"/>
                <w:b/>
                <w:lang w:val="en-US"/>
              </w:rPr>
            </w:pPr>
            <w:r>
              <w:rPr>
                <w:rFonts w:eastAsia="Times New Roman" w:cstheme="minorHAnsi"/>
                <w:b/>
                <w:lang w:val="en-US"/>
              </w:rPr>
              <w:t>Level P2</w:t>
            </w:r>
            <w:r w:rsidRPr="009059DC">
              <w:rPr>
                <w:rFonts w:eastAsia="Times New Roman" w:cstheme="minorHAnsi"/>
                <w:b/>
                <w:lang w:val="en-US"/>
              </w:rPr>
              <w:t xml:space="preserve"> UN pr</w:t>
            </w:r>
            <w:r>
              <w:rPr>
                <w:rFonts w:eastAsia="Times New Roman" w:cstheme="minorHAnsi"/>
                <w:b/>
                <w:lang w:val="en-US"/>
              </w:rPr>
              <w:t>ofessional salary scale, plus</w:t>
            </w:r>
            <w:r w:rsidRPr="009059DC">
              <w:rPr>
                <w:rFonts w:eastAsia="Times New Roman" w:cstheme="minorHAnsi"/>
                <w:b/>
                <w:lang w:val="en-US"/>
              </w:rPr>
              <w:t xml:space="preserve"> post adjustment for Lyon, France</w:t>
            </w:r>
            <w:r>
              <w:rPr>
                <w:rFonts w:eastAsia="Times New Roman" w:cstheme="minorHAnsi"/>
                <w:b/>
                <w:lang w:val="en-US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lang w:val="en-US"/>
              </w:rPr>
              <w:t>appr</w:t>
            </w:r>
            <w:proofErr w:type="spellEnd"/>
            <w:r>
              <w:rPr>
                <w:rFonts w:eastAsia="Times New Roman" w:cstheme="minorHAnsi"/>
                <w:b/>
                <w:lang w:val="en-US"/>
              </w:rPr>
              <w:t>. 61.600,00 EUR p.a.)</w:t>
            </w:r>
          </w:p>
          <w:p w:rsidR="009059DC" w:rsidRPr="009059DC" w:rsidRDefault="009059DC" w:rsidP="009059DC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  <w:lang w:val="en-US"/>
              </w:rPr>
            </w:pPr>
          </w:p>
        </w:tc>
      </w:tr>
      <w:tr w:rsidR="008D5173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9059DC">
              <w:rPr>
                <w:rFonts w:eastAsia="Times New Roman" w:cstheme="minorHAnsi"/>
                <w:b/>
                <w:lang w:val="en-US"/>
              </w:rPr>
              <w:t>Arb</w:t>
            </w:r>
            <w:proofErr w:type="spellStart"/>
            <w:r w:rsidRPr="00FD17C6">
              <w:rPr>
                <w:rFonts w:eastAsia="Times New Roman" w:cstheme="minorHAnsi"/>
                <w:b/>
              </w:rPr>
              <w:t>eitszeit</w:t>
            </w:r>
            <w:proofErr w:type="spellEnd"/>
            <w:r w:rsidR="008E7B71">
              <w:rPr>
                <w:rFonts w:eastAsia="Times New Roman" w:cstheme="minorHAnsi"/>
                <w:b/>
              </w:rPr>
              <w:t xml:space="preserve"> </w:t>
            </w:r>
            <w:r w:rsidRPr="00FD17C6">
              <w:rPr>
                <w:rFonts w:eastAsia="Times New Roman" w:cstheme="minorHAnsi"/>
                <w:b/>
              </w:rPr>
              <w:t>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Hours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9059DC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eastAsia="de-DE"/>
              </w:rPr>
              <w:t>Full</w:t>
            </w:r>
            <w:proofErr w:type="spellEnd"/>
            <w:r>
              <w:rPr>
                <w:rFonts w:eastAsia="Times New Roman" w:cstheme="minorHAnsi"/>
                <w:b/>
                <w:bCs/>
                <w:lang w:eastAsia="de-DE"/>
              </w:rPr>
              <w:t xml:space="preserve"> time</w:t>
            </w:r>
          </w:p>
        </w:tc>
      </w:tr>
      <w:tr w:rsidR="008D5173" w:rsidRPr="008A03BD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</w:t>
            </w:r>
            <w:r w:rsidR="008E7B71">
              <w:rPr>
                <w:rFonts w:eastAsia="Times New Roman" w:cstheme="minorHAnsi"/>
                <w:b/>
              </w:rPr>
              <w:t xml:space="preserve"> </w:t>
            </w:r>
            <w:r w:rsidRPr="00FD17C6">
              <w:rPr>
                <w:rFonts w:eastAsia="Times New Roman" w:cstheme="minorHAnsi"/>
                <w:b/>
              </w:rPr>
              <w:t>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8A03BD" w:rsidRDefault="009059DC" w:rsidP="00F7764B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8A03BD">
              <w:rPr>
                <w:rFonts w:eastAsia="Times New Roman" w:cstheme="minorHAnsi"/>
                <w:b/>
                <w:bCs/>
                <w:lang w:val="en-US" w:eastAsia="de-DE"/>
              </w:rPr>
              <w:t>12 months</w:t>
            </w:r>
          </w:p>
          <w:p w:rsidR="008D5173" w:rsidRPr="00D220C8" w:rsidRDefault="00D220C8" w:rsidP="00D220C8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8A03BD">
              <w:rPr>
                <w:rFonts w:eastAsia="Times New Roman" w:cstheme="minorHAnsi"/>
                <w:b/>
                <w:bCs/>
                <w:u w:val="single"/>
                <w:lang w:val="en-US" w:eastAsia="de-DE"/>
              </w:rPr>
              <w:t>Note</w:t>
            </w:r>
            <w:r w:rsidRPr="008A03BD">
              <w:rPr>
                <w:rFonts w:eastAsia="Times New Roman" w:cstheme="minorHAnsi"/>
                <w:b/>
                <w:bCs/>
                <w:lang w:val="en-US" w:eastAsia="de-DE"/>
              </w:rPr>
              <w:t xml:space="preserve">: Start date for this position is normally set for 1 July 2020. </w:t>
            </w:r>
            <w:r w:rsidRPr="00D220C8">
              <w:rPr>
                <w:rFonts w:eastAsia="Times New Roman" w:cstheme="minorHAnsi"/>
                <w:b/>
                <w:bCs/>
                <w:lang w:val="en-US" w:eastAsia="de-DE"/>
              </w:rPr>
              <w:t>However, in light of the evolving Covid-19 situation (notably in terms of confinement and travel restrictions), the start date of the position may be impacted until such date that the successful candidate b</w:t>
            </w:r>
            <w:r>
              <w:rPr>
                <w:rFonts w:eastAsia="Times New Roman" w:cstheme="minorHAnsi"/>
                <w:b/>
                <w:bCs/>
                <w:lang w:val="en-US" w:eastAsia="de-DE"/>
              </w:rPr>
              <w:t xml:space="preserve">e able to physically report for </w:t>
            </w:r>
            <w:r w:rsidRPr="00D220C8">
              <w:rPr>
                <w:rFonts w:eastAsia="Times New Roman" w:cstheme="minorHAnsi"/>
                <w:b/>
                <w:bCs/>
                <w:lang w:val="en-US" w:eastAsia="de-DE"/>
              </w:rPr>
              <w:t>duty in Lyon, France.</w:t>
            </w:r>
          </w:p>
        </w:tc>
      </w:tr>
      <w:tr w:rsidR="008D5173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Bewerbungsfrist</w:t>
            </w:r>
            <w:r w:rsidR="008E7B71">
              <w:rPr>
                <w:rFonts w:eastAsia="Times New Roman" w:cstheme="minorHAnsi"/>
                <w:b/>
              </w:rPr>
              <w:t xml:space="preserve"> </w:t>
            </w:r>
            <w:r w:rsidRPr="00FD17C6">
              <w:rPr>
                <w:rFonts w:eastAsia="Times New Roman" w:cstheme="minorHAnsi"/>
                <w:b/>
              </w:rPr>
              <w:t xml:space="preserve">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9059DC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19 May 2020</w:t>
            </w:r>
          </w:p>
        </w:tc>
      </w:tr>
      <w:tr w:rsidR="008D5173" w:rsidRPr="00FD17C6" w:rsidTr="00FD17C6">
        <w:tc>
          <w:tcPr>
            <w:tcW w:w="2720" w:type="dxa"/>
          </w:tcPr>
          <w:p w:rsidR="007D46CF" w:rsidRPr="00FD17C6" w:rsidRDefault="007D46CF" w:rsidP="008E7B71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Kontaktperson</w:t>
            </w:r>
            <w:r w:rsidR="008E7B71">
              <w:rPr>
                <w:rFonts w:eastAsia="Times New Roman" w:cstheme="minorHAnsi"/>
                <w:b/>
              </w:rPr>
              <w:t xml:space="preserve"> /      </w:t>
            </w:r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8E7B71">
              <w:rPr>
                <w:rFonts w:eastAsia="Times New Roman" w:cstheme="minorHAnsi"/>
                <w:b/>
              </w:rPr>
              <w:t>Contact</w:t>
            </w:r>
            <w:proofErr w:type="spellEnd"/>
            <w:r w:rsidR="008E7B71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8E7B71">
              <w:rPr>
                <w:rFonts w:eastAsia="Times New Roman" w:cstheme="minorHAnsi"/>
                <w:b/>
              </w:rPr>
              <w:t>p</w:t>
            </w:r>
            <w:r w:rsidRPr="00FD17C6">
              <w:rPr>
                <w:rFonts w:eastAsia="Times New Roman" w:cstheme="minorHAnsi"/>
                <w:b/>
              </w:rPr>
              <w:t>erson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D46CF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8D5173" w:rsidRPr="008A03BD" w:rsidTr="00FD17C6">
        <w:tc>
          <w:tcPr>
            <w:tcW w:w="2720" w:type="dxa"/>
          </w:tcPr>
          <w:p w:rsidR="007D46CF" w:rsidRPr="00FD17C6" w:rsidRDefault="007D46CF" w:rsidP="007D46C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 w:rsidR="00FD17C6"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>informationen</w:t>
            </w:r>
            <w:r w:rsidR="008E7B71">
              <w:rPr>
                <w:rFonts w:eastAsia="Times New Roman" w:cstheme="minorHAnsi"/>
                <w:b/>
              </w:rPr>
              <w:t xml:space="preserve"> </w:t>
            </w:r>
            <w:r w:rsidRPr="00FD17C6">
              <w:rPr>
                <w:rFonts w:eastAsia="Times New Roman" w:cstheme="minorHAnsi"/>
                <w:b/>
              </w:rPr>
              <w:t xml:space="preserve">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EB06E7" w:rsidRPr="008D5173" w:rsidRDefault="00EB06E7" w:rsidP="008D5173">
            <w:pPr>
              <w:rPr>
                <w:rFonts w:eastAsia="Times New Roman" w:cstheme="minorHAnsi"/>
                <w:b/>
                <w:u w:val="single"/>
                <w:lang w:val="en-US"/>
              </w:rPr>
            </w:pPr>
            <w:r w:rsidRPr="008D5173">
              <w:rPr>
                <w:rFonts w:eastAsia="Times New Roman" w:cstheme="minorHAnsi"/>
                <w:b/>
                <w:u w:val="single"/>
                <w:lang w:val="en-US"/>
              </w:rPr>
              <w:t xml:space="preserve">Key duties </w:t>
            </w:r>
          </w:p>
          <w:p w:rsidR="00EB06E7" w:rsidRDefault="00EB06E7" w:rsidP="000646D1">
            <w:pPr>
              <w:pStyle w:val="Listenabsatz"/>
              <w:numPr>
                <w:ilvl w:val="0"/>
                <w:numId w:val="5"/>
              </w:numPr>
              <w:rPr>
                <w:rFonts w:eastAsia="Times New Roman" w:cstheme="minorHAnsi"/>
                <w:b/>
                <w:lang w:val="en-US"/>
              </w:rPr>
            </w:pPr>
            <w:r w:rsidRPr="00EB06E7">
              <w:rPr>
                <w:rFonts w:eastAsia="Times New Roman" w:cstheme="minorHAnsi"/>
                <w:b/>
                <w:lang w:val="en-US"/>
              </w:rPr>
              <w:t>Before the Monographs meeting, assist in identifying key studies and experts to be considered for the meeting.</w:t>
            </w:r>
          </w:p>
          <w:p w:rsidR="00EB06E7" w:rsidRDefault="00EB06E7" w:rsidP="000646D1">
            <w:pPr>
              <w:pStyle w:val="Listenabsatz"/>
              <w:numPr>
                <w:ilvl w:val="0"/>
                <w:numId w:val="5"/>
              </w:numPr>
              <w:rPr>
                <w:rFonts w:eastAsia="Times New Roman" w:cstheme="minorHAnsi"/>
                <w:b/>
                <w:lang w:val="en-US"/>
              </w:rPr>
            </w:pPr>
            <w:r w:rsidRPr="00EB06E7">
              <w:rPr>
                <w:rFonts w:eastAsia="Times New Roman" w:cstheme="minorHAnsi"/>
                <w:b/>
                <w:lang w:val="en-US"/>
              </w:rPr>
              <w:t xml:space="preserve">At the Monographs meeting, serve as rapporteur or co-rapporteur, acting in the best interests of the </w:t>
            </w:r>
            <w:proofErr w:type="spellStart"/>
            <w:r w:rsidRPr="00EB06E7">
              <w:rPr>
                <w:rFonts w:eastAsia="Times New Roman" w:cstheme="minorHAnsi"/>
                <w:b/>
                <w:lang w:val="en-US"/>
              </w:rPr>
              <w:t>programme</w:t>
            </w:r>
            <w:proofErr w:type="spellEnd"/>
            <w:r w:rsidRPr="00EB06E7">
              <w:rPr>
                <w:rFonts w:eastAsia="Times New Roman" w:cstheme="minorHAnsi"/>
                <w:b/>
                <w:lang w:val="en-US"/>
              </w:rPr>
              <w:t xml:space="preserve"> while (a) working with the subgroup chair, subgroup members, and IARC staff to ensure tasks are completed on time; (b) recording text changes and verifying that revised drafts reflect</w:t>
            </w:r>
            <w:r>
              <w:rPr>
                <w:rFonts w:eastAsia="Times New Roman" w:cstheme="minorHAnsi"/>
                <w:b/>
                <w:lang w:val="en-US"/>
              </w:rPr>
              <w:t xml:space="preserve"> </w:t>
            </w:r>
            <w:r w:rsidRPr="00EB06E7">
              <w:rPr>
                <w:rFonts w:eastAsia="Times New Roman" w:cstheme="minorHAnsi"/>
                <w:b/>
                <w:lang w:val="en-US"/>
              </w:rPr>
              <w:t>these changes</w:t>
            </w:r>
            <w:r>
              <w:rPr>
                <w:rFonts w:eastAsia="Times New Roman" w:cstheme="minorHAnsi"/>
                <w:b/>
                <w:lang w:val="en-US"/>
              </w:rPr>
              <w:t xml:space="preserve">; (c) </w:t>
            </w:r>
            <w:r w:rsidRPr="00EB06E7">
              <w:rPr>
                <w:rFonts w:eastAsia="Times New Roman" w:cstheme="minorHAnsi"/>
                <w:b/>
                <w:lang w:val="en-US"/>
              </w:rPr>
              <w:t>ensuring that the work produced by the subgroup conforms to standards; and (d) coordinating with the other rapporteurs to ensure that</w:t>
            </w:r>
            <w:r>
              <w:rPr>
                <w:rFonts w:eastAsia="Times New Roman" w:cstheme="minorHAnsi"/>
                <w:b/>
                <w:lang w:val="en-US"/>
              </w:rPr>
              <w:t xml:space="preserve"> </w:t>
            </w:r>
            <w:r w:rsidRPr="00EB06E7">
              <w:rPr>
                <w:rFonts w:eastAsia="Times New Roman" w:cstheme="minorHAnsi"/>
                <w:b/>
                <w:lang w:val="en-US"/>
              </w:rPr>
              <w:t>satisfactory progress is being made throughout the meeting. The incumbent also contributes to the preparation of manuscripts for scientific publications related to</w:t>
            </w:r>
            <w:r>
              <w:rPr>
                <w:rFonts w:eastAsia="Times New Roman" w:cstheme="minorHAnsi"/>
                <w:b/>
                <w:lang w:val="en-US"/>
              </w:rPr>
              <w:t xml:space="preserve"> </w:t>
            </w:r>
            <w:r w:rsidRPr="00EB06E7">
              <w:rPr>
                <w:rFonts w:eastAsia="Times New Roman" w:cstheme="minorHAnsi"/>
                <w:b/>
                <w:lang w:val="en-US"/>
              </w:rPr>
              <w:t xml:space="preserve">the </w:t>
            </w:r>
            <w:proofErr w:type="spellStart"/>
            <w:r w:rsidRPr="00EB06E7">
              <w:rPr>
                <w:rFonts w:eastAsia="Times New Roman" w:cstheme="minorHAnsi"/>
                <w:b/>
                <w:lang w:val="en-US"/>
              </w:rPr>
              <w:t>programmes</w:t>
            </w:r>
            <w:proofErr w:type="spellEnd"/>
            <w:r w:rsidRPr="00EB06E7">
              <w:rPr>
                <w:rFonts w:eastAsia="Times New Roman" w:cstheme="minorHAnsi"/>
                <w:b/>
                <w:lang w:val="en-US"/>
              </w:rPr>
              <w:t>.</w:t>
            </w:r>
          </w:p>
          <w:p w:rsidR="00EB06E7" w:rsidRDefault="00EB06E7" w:rsidP="000646D1">
            <w:pPr>
              <w:pStyle w:val="Listenabsatz"/>
              <w:numPr>
                <w:ilvl w:val="0"/>
                <w:numId w:val="5"/>
              </w:numPr>
              <w:rPr>
                <w:rFonts w:eastAsia="Times New Roman" w:cstheme="minorHAnsi"/>
                <w:b/>
                <w:lang w:val="en-US"/>
              </w:rPr>
            </w:pPr>
            <w:r w:rsidRPr="00EB06E7">
              <w:rPr>
                <w:rFonts w:eastAsia="Times New Roman" w:cstheme="minorHAnsi"/>
                <w:b/>
                <w:lang w:val="en-US"/>
              </w:rPr>
              <w:lastRenderedPageBreak/>
              <w:t xml:space="preserve"> Before and as need after the Monographs meeting, review the text and tables to ensure their scientific accuracy, coherence of text, tables and summaries and</w:t>
            </w:r>
            <w:r>
              <w:rPr>
                <w:rFonts w:eastAsia="Times New Roman" w:cstheme="minorHAnsi"/>
                <w:b/>
                <w:lang w:val="en-US"/>
              </w:rPr>
              <w:t xml:space="preserve"> </w:t>
            </w:r>
            <w:r w:rsidRPr="00EB06E7">
              <w:rPr>
                <w:rFonts w:eastAsia="Times New Roman" w:cstheme="minorHAnsi"/>
                <w:b/>
                <w:lang w:val="en-US"/>
              </w:rPr>
              <w:t>overall scientific clarity. This involves checking the final text from the meeting against the scientific literature, making corrections as necessary, and responding to</w:t>
            </w:r>
            <w:r>
              <w:rPr>
                <w:rFonts w:eastAsia="Times New Roman" w:cstheme="minorHAnsi"/>
                <w:b/>
                <w:lang w:val="en-US"/>
              </w:rPr>
              <w:t xml:space="preserve"> </w:t>
            </w:r>
            <w:r w:rsidRPr="00EB06E7">
              <w:rPr>
                <w:rFonts w:eastAsia="Times New Roman" w:cstheme="minorHAnsi"/>
                <w:b/>
                <w:lang w:val="en-US"/>
              </w:rPr>
              <w:t>queries from the editor.</w:t>
            </w:r>
          </w:p>
          <w:p w:rsidR="00EB06E7" w:rsidRDefault="00EB06E7" w:rsidP="000646D1">
            <w:pPr>
              <w:pStyle w:val="Listenabsatz"/>
              <w:numPr>
                <w:ilvl w:val="0"/>
                <w:numId w:val="5"/>
              </w:numPr>
              <w:rPr>
                <w:rFonts w:eastAsia="Times New Roman" w:cstheme="minorHAnsi"/>
                <w:b/>
                <w:lang w:val="en-US"/>
              </w:rPr>
            </w:pPr>
            <w:r w:rsidRPr="00EB06E7">
              <w:rPr>
                <w:rFonts w:eastAsia="Times New Roman" w:cstheme="minorHAnsi"/>
                <w:b/>
                <w:lang w:val="en-US"/>
              </w:rPr>
              <w:t xml:space="preserve">Respond to external inquiries about specific Monographs or about the overall </w:t>
            </w:r>
            <w:proofErr w:type="spellStart"/>
            <w:r w:rsidRPr="00EB06E7">
              <w:rPr>
                <w:rFonts w:eastAsia="Times New Roman" w:cstheme="minorHAnsi"/>
                <w:b/>
                <w:lang w:val="en-US"/>
              </w:rPr>
              <w:t>programme</w:t>
            </w:r>
            <w:proofErr w:type="spellEnd"/>
            <w:r w:rsidRPr="00EB06E7">
              <w:rPr>
                <w:rFonts w:eastAsia="Times New Roman" w:cstheme="minorHAnsi"/>
                <w:b/>
                <w:lang w:val="en-US"/>
              </w:rPr>
              <w:t>. This may involve giving presentations in English at national or international conferences about the findings of the Monographs meetings.</w:t>
            </w:r>
          </w:p>
          <w:p w:rsidR="00EB06E7" w:rsidRPr="00EB06E7" w:rsidRDefault="00EB06E7" w:rsidP="000646D1">
            <w:pPr>
              <w:pStyle w:val="Listenabsatz"/>
              <w:numPr>
                <w:ilvl w:val="0"/>
                <w:numId w:val="5"/>
              </w:numPr>
              <w:rPr>
                <w:rFonts w:eastAsia="Times New Roman" w:cstheme="minorHAnsi"/>
                <w:b/>
                <w:lang w:val="en-US"/>
              </w:rPr>
            </w:pPr>
            <w:r w:rsidRPr="00EB06E7">
              <w:rPr>
                <w:rFonts w:eastAsia="Times New Roman" w:cstheme="minorHAnsi"/>
                <w:b/>
                <w:lang w:val="en-US"/>
              </w:rPr>
              <w:t>When serving as Responsible Officer, coordinate the preparation of a Monograph and its associated meeting, including identifying the agent and experts,</w:t>
            </w:r>
            <w:r w:rsidR="008D5173">
              <w:rPr>
                <w:rFonts w:eastAsia="Times New Roman" w:cstheme="minorHAnsi"/>
                <w:b/>
                <w:lang w:val="en-US"/>
              </w:rPr>
              <w:t xml:space="preserve"> </w:t>
            </w:r>
            <w:r w:rsidRPr="00EB06E7">
              <w:rPr>
                <w:rFonts w:eastAsia="Times New Roman" w:cstheme="minorHAnsi"/>
                <w:b/>
                <w:lang w:val="en-US"/>
              </w:rPr>
              <w:t>developing the outline and writing assignments for the Monograph, coordinating the work of other team members, drafting the meeting summary, and overseeing</w:t>
            </w:r>
            <w:r>
              <w:rPr>
                <w:rFonts w:eastAsia="Times New Roman" w:cstheme="minorHAnsi"/>
                <w:b/>
                <w:lang w:val="en-US"/>
              </w:rPr>
              <w:t xml:space="preserve"> </w:t>
            </w:r>
            <w:r w:rsidRPr="00EB06E7">
              <w:rPr>
                <w:rFonts w:eastAsia="Times New Roman" w:cstheme="minorHAnsi"/>
                <w:b/>
                <w:lang w:val="en-US"/>
              </w:rPr>
              <w:t>quality control review of the Monograph after the meeting.</w:t>
            </w:r>
          </w:p>
          <w:p w:rsidR="00EB06E7" w:rsidRDefault="00EB06E7" w:rsidP="000646D1">
            <w:pPr>
              <w:pStyle w:val="Listenabsatz"/>
              <w:numPr>
                <w:ilvl w:val="0"/>
                <w:numId w:val="5"/>
              </w:numPr>
              <w:rPr>
                <w:rFonts w:eastAsia="Times New Roman" w:cstheme="minorHAnsi"/>
                <w:b/>
                <w:lang w:val="en-US"/>
              </w:rPr>
            </w:pPr>
            <w:r w:rsidRPr="00EB06E7">
              <w:rPr>
                <w:rFonts w:eastAsia="Times New Roman" w:cstheme="minorHAnsi"/>
                <w:b/>
                <w:lang w:val="en-US"/>
              </w:rPr>
              <w:t xml:space="preserve">Actively participate in IARC scientific meetings related to the </w:t>
            </w:r>
            <w:proofErr w:type="spellStart"/>
            <w:r w:rsidRPr="00EB06E7">
              <w:rPr>
                <w:rFonts w:eastAsia="Times New Roman" w:cstheme="minorHAnsi"/>
                <w:b/>
                <w:lang w:val="en-US"/>
              </w:rPr>
              <w:t>programme</w:t>
            </w:r>
            <w:proofErr w:type="spellEnd"/>
            <w:r w:rsidRPr="00EB06E7">
              <w:rPr>
                <w:rFonts w:eastAsia="Times New Roman" w:cstheme="minorHAnsi"/>
                <w:b/>
                <w:lang w:val="en-US"/>
              </w:rPr>
              <w:t>.</w:t>
            </w:r>
          </w:p>
          <w:p w:rsidR="00EB06E7" w:rsidRDefault="00EB06E7" w:rsidP="000646D1">
            <w:pPr>
              <w:pStyle w:val="Listenabsatz"/>
              <w:numPr>
                <w:ilvl w:val="0"/>
                <w:numId w:val="5"/>
              </w:numPr>
              <w:rPr>
                <w:rFonts w:eastAsia="Times New Roman" w:cstheme="minorHAnsi"/>
                <w:b/>
                <w:lang w:val="en-US"/>
              </w:rPr>
            </w:pPr>
            <w:r w:rsidRPr="00EB06E7">
              <w:rPr>
                <w:rFonts w:eastAsia="Times New Roman" w:cstheme="minorHAnsi"/>
                <w:b/>
                <w:lang w:val="en-US"/>
              </w:rPr>
              <w:t>Contribute to writing grants with a view to attracting research funding from competitive sources.</w:t>
            </w:r>
          </w:p>
          <w:p w:rsidR="000646D1" w:rsidRPr="000646D1" w:rsidRDefault="000646D1" w:rsidP="000646D1">
            <w:pPr>
              <w:rPr>
                <w:rFonts w:eastAsia="Times New Roman" w:cstheme="minorHAnsi"/>
                <w:b/>
                <w:lang w:val="en-US"/>
              </w:rPr>
            </w:pPr>
          </w:p>
          <w:p w:rsidR="000646D1" w:rsidRPr="008D5173" w:rsidRDefault="000646D1" w:rsidP="000646D1">
            <w:pPr>
              <w:rPr>
                <w:rFonts w:eastAsia="Times New Roman" w:cstheme="minorHAnsi"/>
                <w:b/>
                <w:u w:val="single"/>
                <w:lang w:val="en-US"/>
              </w:rPr>
            </w:pPr>
            <w:r w:rsidRPr="008D5173">
              <w:rPr>
                <w:rFonts w:eastAsia="Times New Roman" w:cstheme="minorHAnsi"/>
                <w:b/>
                <w:u w:val="single"/>
                <w:lang w:val="en-US"/>
              </w:rPr>
              <w:t>Experience/ Essential</w:t>
            </w:r>
          </w:p>
          <w:p w:rsidR="007D46CF" w:rsidRDefault="000646D1" w:rsidP="000646D1">
            <w:pPr>
              <w:pStyle w:val="Listenabsatz"/>
              <w:numPr>
                <w:ilvl w:val="0"/>
                <w:numId w:val="5"/>
              </w:numPr>
              <w:rPr>
                <w:rFonts w:eastAsia="Times New Roman" w:cstheme="minorHAnsi"/>
                <w:b/>
                <w:lang w:val="en-US"/>
              </w:rPr>
            </w:pPr>
            <w:r w:rsidRPr="000646D1">
              <w:rPr>
                <w:rFonts w:eastAsia="Times New Roman" w:cstheme="minorHAnsi"/>
                <w:b/>
                <w:lang w:val="en-US"/>
              </w:rPr>
              <w:t>At least two years of professional post-doctoral experience conducting, reviewing, or evaluating studies on epidemiology, in particular studies evaluating causal associations with cancer. Experience in guiding scientific committees, either as chair or rapporteur.</w:t>
            </w:r>
          </w:p>
          <w:p w:rsidR="000646D1" w:rsidRPr="000646D1" w:rsidRDefault="000646D1" w:rsidP="000646D1">
            <w:pPr>
              <w:pStyle w:val="Listenabsatz"/>
              <w:numPr>
                <w:ilvl w:val="0"/>
                <w:numId w:val="5"/>
              </w:numPr>
              <w:rPr>
                <w:rFonts w:eastAsia="Times New Roman" w:cstheme="minorHAnsi"/>
                <w:b/>
                <w:lang w:val="en-US"/>
              </w:rPr>
            </w:pPr>
            <w:r w:rsidRPr="000646D1">
              <w:rPr>
                <w:rFonts w:eastAsia="Times New Roman" w:cstheme="minorHAnsi"/>
                <w:b/>
                <w:lang w:val="en-US"/>
              </w:rPr>
              <w:t>Experience reviewing carcinogenicity data across the spectrum of carcinogenic hazards and primary and secondary intervention</w:t>
            </w:r>
            <w:r>
              <w:rPr>
                <w:rFonts w:eastAsia="Times New Roman" w:cstheme="minorHAnsi"/>
                <w:b/>
                <w:lang w:val="en-US"/>
              </w:rPr>
              <w:t xml:space="preserve">s: chemicals, complex mixtures, </w:t>
            </w:r>
            <w:r w:rsidRPr="000646D1">
              <w:rPr>
                <w:rFonts w:eastAsia="Times New Roman" w:cstheme="minorHAnsi"/>
                <w:b/>
                <w:lang w:val="en-US"/>
              </w:rPr>
              <w:t xml:space="preserve">occupational exposures, physical agents including radiation, biological agents, and </w:t>
            </w:r>
            <w:proofErr w:type="spellStart"/>
            <w:r w:rsidRPr="000646D1">
              <w:rPr>
                <w:rFonts w:eastAsia="Times New Roman" w:cstheme="minorHAnsi"/>
                <w:b/>
                <w:lang w:val="en-US"/>
              </w:rPr>
              <w:t>behavioural</w:t>
            </w:r>
            <w:proofErr w:type="spellEnd"/>
            <w:r w:rsidRPr="000646D1">
              <w:rPr>
                <w:rFonts w:eastAsia="Times New Roman" w:cstheme="minorHAnsi"/>
                <w:b/>
                <w:lang w:val="en-US"/>
              </w:rPr>
              <w:t xml:space="preserve"> factors; </w:t>
            </w:r>
            <w:proofErr w:type="spellStart"/>
            <w:r w:rsidRPr="000646D1">
              <w:rPr>
                <w:rFonts w:eastAsia="Times New Roman" w:cstheme="minorHAnsi"/>
                <w:b/>
                <w:lang w:val="en-US"/>
              </w:rPr>
              <w:t>chemopreventive</w:t>
            </w:r>
            <w:proofErr w:type="spellEnd"/>
            <w:r w:rsidRPr="000646D1">
              <w:rPr>
                <w:rFonts w:eastAsia="Times New Roman" w:cstheme="minorHAnsi"/>
                <w:b/>
                <w:lang w:val="en-US"/>
              </w:rPr>
              <w:t xml:space="preserve"> agents and screening for cancer.</w:t>
            </w:r>
          </w:p>
          <w:p w:rsidR="000646D1" w:rsidRDefault="000646D1" w:rsidP="000646D1">
            <w:pPr>
              <w:pStyle w:val="Listenabsatz"/>
              <w:numPr>
                <w:ilvl w:val="0"/>
                <w:numId w:val="5"/>
              </w:numPr>
              <w:rPr>
                <w:rFonts w:eastAsia="Times New Roman" w:cstheme="minorHAnsi"/>
                <w:b/>
                <w:lang w:val="en-US"/>
              </w:rPr>
            </w:pPr>
            <w:r w:rsidRPr="000646D1">
              <w:rPr>
                <w:rFonts w:eastAsia="Times New Roman" w:cstheme="minorHAnsi"/>
                <w:b/>
                <w:lang w:val="en-US"/>
              </w:rPr>
              <w:t>Scientific publication record in the field of epidemiology commensurate with the grade of the position.</w:t>
            </w:r>
          </w:p>
          <w:p w:rsidR="000646D1" w:rsidRPr="000646D1" w:rsidRDefault="000646D1" w:rsidP="000646D1">
            <w:pPr>
              <w:rPr>
                <w:rFonts w:eastAsia="Times New Roman" w:cstheme="minorHAnsi"/>
                <w:b/>
                <w:lang w:val="en-US"/>
              </w:rPr>
            </w:pPr>
          </w:p>
          <w:p w:rsidR="000646D1" w:rsidRPr="008D5173" w:rsidRDefault="000646D1" w:rsidP="000646D1">
            <w:pPr>
              <w:rPr>
                <w:rFonts w:eastAsia="Times New Roman" w:cstheme="minorHAnsi"/>
                <w:b/>
                <w:u w:val="single"/>
                <w:lang w:val="en-US"/>
              </w:rPr>
            </w:pPr>
            <w:r w:rsidRPr="008D5173">
              <w:rPr>
                <w:rFonts w:eastAsia="Times New Roman" w:cstheme="minorHAnsi"/>
                <w:b/>
                <w:u w:val="single"/>
                <w:lang w:val="en-US"/>
              </w:rPr>
              <w:t>Experience/ Desirable</w:t>
            </w:r>
          </w:p>
          <w:p w:rsidR="000646D1" w:rsidRPr="000646D1" w:rsidRDefault="000646D1" w:rsidP="000646D1">
            <w:pPr>
              <w:pStyle w:val="Listenabsatz"/>
              <w:numPr>
                <w:ilvl w:val="0"/>
                <w:numId w:val="5"/>
              </w:numPr>
              <w:rPr>
                <w:rFonts w:eastAsia="Times New Roman" w:cstheme="minorHAnsi"/>
                <w:b/>
                <w:lang w:val="en-US"/>
              </w:rPr>
            </w:pPr>
            <w:proofErr w:type="gramStart"/>
            <w:r w:rsidRPr="000646D1">
              <w:rPr>
                <w:rFonts w:eastAsia="Times New Roman" w:cstheme="minorHAnsi"/>
                <w:b/>
                <w:lang w:val="en-US"/>
              </w:rPr>
              <w:t>working</w:t>
            </w:r>
            <w:proofErr w:type="gramEnd"/>
            <w:r w:rsidRPr="000646D1">
              <w:rPr>
                <w:rFonts w:eastAsia="Times New Roman" w:cstheme="minorHAnsi"/>
                <w:b/>
                <w:lang w:val="en-US"/>
              </w:rPr>
              <w:t xml:space="preserve"> in a multi-disciplinary scientific unit.</w:t>
            </w:r>
          </w:p>
          <w:p w:rsidR="000646D1" w:rsidRPr="000646D1" w:rsidRDefault="000646D1" w:rsidP="000646D1">
            <w:pPr>
              <w:pStyle w:val="Listenabsatz"/>
              <w:numPr>
                <w:ilvl w:val="0"/>
                <w:numId w:val="5"/>
              </w:numPr>
              <w:rPr>
                <w:rFonts w:eastAsia="Times New Roman" w:cstheme="minorHAnsi"/>
                <w:b/>
                <w:lang w:val="en-US"/>
              </w:rPr>
            </w:pPr>
            <w:proofErr w:type="gramStart"/>
            <w:r w:rsidRPr="000646D1">
              <w:rPr>
                <w:rFonts w:eastAsia="Times New Roman" w:cstheme="minorHAnsi"/>
                <w:b/>
                <w:lang w:val="en-US"/>
              </w:rPr>
              <w:t>working</w:t>
            </w:r>
            <w:proofErr w:type="gramEnd"/>
            <w:r w:rsidRPr="000646D1">
              <w:rPr>
                <w:rFonts w:eastAsia="Times New Roman" w:cstheme="minorHAnsi"/>
                <w:b/>
                <w:lang w:val="en-US"/>
              </w:rPr>
              <w:t xml:space="preserve"> in a diverse multi-cultural environment.</w:t>
            </w:r>
          </w:p>
          <w:p w:rsidR="000646D1" w:rsidRDefault="000646D1" w:rsidP="000646D1">
            <w:pPr>
              <w:pStyle w:val="Listenabsatz"/>
              <w:numPr>
                <w:ilvl w:val="0"/>
                <w:numId w:val="5"/>
              </w:numPr>
              <w:rPr>
                <w:rFonts w:eastAsia="Times New Roman" w:cstheme="minorHAnsi"/>
                <w:b/>
                <w:lang w:val="en-US"/>
              </w:rPr>
            </w:pPr>
            <w:proofErr w:type="gramStart"/>
            <w:r w:rsidRPr="000646D1">
              <w:rPr>
                <w:rFonts w:eastAsia="Times New Roman" w:cstheme="minorHAnsi"/>
                <w:b/>
                <w:lang w:val="en-US"/>
              </w:rPr>
              <w:t>working</w:t>
            </w:r>
            <w:proofErr w:type="gramEnd"/>
            <w:r w:rsidRPr="000646D1">
              <w:rPr>
                <w:rFonts w:eastAsia="Times New Roman" w:cstheme="minorHAnsi"/>
                <w:b/>
                <w:lang w:val="en-US"/>
              </w:rPr>
              <w:t xml:space="preserve"> in an international organization.</w:t>
            </w:r>
          </w:p>
          <w:p w:rsidR="000646D1" w:rsidRPr="000646D1" w:rsidRDefault="000646D1" w:rsidP="000646D1">
            <w:pPr>
              <w:pStyle w:val="Listenabsatz"/>
              <w:numPr>
                <w:ilvl w:val="0"/>
                <w:numId w:val="5"/>
              </w:numPr>
              <w:rPr>
                <w:rFonts w:eastAsia="Times New Roman" w:cstheme="minorHAnsi"/>
                <w:b/>
                <w:lang w:val="en-US"/>
              </w:rPr>
            </w:pPr>
            <w:r>
              <w:rPr>
                <w:rFonts w:eastAsia="Times New Roman" w:cstheme="minorHAnsi"/>
                <w:b/>
                <w:lang w:val="en-US"/>
              </w:rPr>
              <w:t>In systematic review methodologies.</w:t>
            </w:r>
          </w:p>
          <w:p w:rsidR="000646D1" w:rsidRDefault="000646D1" w:rsidP="000646D1">
            <w:pPr>
              <w:pStyle w:val="Listenabsatz"/>
              <w:rPr>
                <w:rFonts w:eastAsia="Times New Roman" w:cstheme="minorHAnsi"/>
                <w:b/>
                <w:lang w:val="en-US"/>
              </w:rPr>
            </w:pPr>
          </w:p>
          <w:p w:rsidR="000646D1" w:rsidRPr="008D5173" w:rsidRDefault="000646D1" w:rsidP="000646D1">
            <w:pPr>
              <w:pStyle w:val="Listenabsatz"/>
              <w:ind w:left="0"/>
              <w:rPr>
                <w:rFonts w:eastAsia="Times New Roman" w:cstheme="minorHAnsi"/>
                <w:b/>
                <w:u w:val="single"/>
                <w:lang w:val="en-US"/>
              </w:rPr>
            </w:pPr>
            <w:r w:rsidRPr="008D5173">
              <w:rPr>
                <w:rFonts w:eastAsia="Times New Roman" w:cstheme="minorHAnsi"/>
                <w:b/>
                <w:u w:val="single"/>
                <w:lang w:val="en-US"/>
              </w:rPr>
              <w:t>Skills</w:t>
            </w:r>
          </w:p>
          <w:p w:rsidR="000646D1" w:rsidRPr="000646D1" w:rsidRDefault="000646D1" w:rsidP="000646D1">
            <w:pPr>
              <w:pStyle w:val="Listenabsatz"/>
              <w:numPr>
                <w:ilvl w:val="0"/>
                <w:numId w:val="5"/>
              </w:numPr>
              <w:rPr>
                <w:rFonts w:eastAsia="Times New Roman" w:cstheme="minorHAnsi"/>
                <w:b/>
                <w:lang w:val="en-US"/>
              </w:rPr>
            </w:pPr>
            <w:r w:rsidRPr="000646D1">
              <w:rPr>
                <w:rFonts w:eastAsia="Times New Roman" w:cstheme="minorHAnsi"/>
                <w:b/>
                <w:lang w:val="en-US"/>
              </w:rPr>
              <w:t>Knowledge of the scientific disciplines involved in carcinogenesis and cancer prevention: excellent knowledge of epidemiology and exposure assessment, with a working knowledge of toxicology and mechanisms of carcinogenesis.</w:t>
            </w:r>
          </w:p>
          <w:p w:rsidR="000646D1" w:rsidRPr="000646D1" w:rsidRDefault="000646D1" w:rsidP="000646D1">
            <w:pPr>
              <w:pStyle w:val="Listenabsatz"/>
              <w:numPr>
                <w:ilvl w:val="0"/>
                <w:numId w:val="5"/>
              </w:numPr>
              <w:rPr>
                <w:rFonts w:eastAsia="Times New Roman" w:cstheme="minorHAnsi"/>
                <w:b/>
                <w:lang w:val="en-US"/>
              </w:rPr>
            </w:pPr>
            <w:r w:rsidRPr="000646D1">
              <w:rPr>
                <w:rFonts w:eastAsia="Times New Roman" w:cstheme="minorHAnsi"/>
                <w:b/>
                <w:lang w:val="en-US"/>
              </w:rPr>
              <w:t>Familiarity with the principles and execution of systematic review.</w:t>
            </w:r>
          </w:p>
          <w:p w:rsidR="000646D1" w:rsidRPr="000646D1" w:rsidRDefault="000646D1" w:rsidP="000646D1">
            <w:pPr>
              <w:pStyle w:val="Listenabsatz"/>
              <w:numPr>
                <w:ilvl w:val="0"/>
                <w:numId w:val="5"/>
              </w:numPr>
              <w:rPr>
                <w:rFonts w:eastAsia="Times New Roman" w:cstheme="minorHAnsi"/>
                <w:b/>
                <w:lang w:val="en-US"/>
              </w:rPr>
            </w:pPr>
            <w:r w:rsidRPr="000646D1">
              <w:rPr>
                <w:rFonts w:eastAsia="Times New Roman" w:cstheme="minorHAnsi"/>
                <w:b/>
                <w:lang w:val="en-US"/>
              </w:rPr>
              <w:t xml:space="preserve">Ability to facilitate discussions and guide committees to produce scientific reports; to review manuscripts and tables for </w:t>
            </w:r>
            <w:r w:rsidRPr="000646D1">
              <w:rPr>
                <w:rFonts w:eastAsia="Times New Roman" w:cstheme="minorHAnsi"/>
                <w:b/>
                <w:lang w:val="en-US"/>
              </w:rPr>
              <w:lastRenderedPageBreak/>
              <w:t>accuracy, and to integrate scientific information across multiple disciplines.</w:t>
            </w:r>
          </w:p>
          <w:p w:rsidR="000646D1" w:rsidRPr="000646D1" w:rsidRDefault="000646D1" w:rsidP="000646D1">
            <w:pPr>
              <w:pStyle w:val="Listenabsatz"/>
              <w:numPr>
                <w:ilvl w:val="0"/>
                <w:numId w:val="5"/>
              </w:numPr>
              <w:rPr>
                <w:rFonts w:eastAsia="Times New Roman" w:cstheme="minorHAnsi"/>
                <w:b/>
                <w:lang w:val="en-US"/>
              </w:rPr>
            </w:pPr>
            <w:r w:rsidRPr="000646D1">
              <w:rPr>
                <w:rFonts w:eastAsia="Times New Roman" w:cstheme="minorHAnsi"/>
                <w:b/>
                <w:lang w:val="en-US"/>
              </w:rPr>
              <w:t>Familiarity with preparation of grant applications.</w:t>
            </w:r>
          </w:p>
          <w:p w:rsidR="000646D1" w:rsidRPr="000646D1" w:rsidRDefault="000646D1" w:rsidP="000646D1">
            <w:pPr>
              <w:pStyle w:val="Listenabsatz"/>
              <w:numPr>
                <w:ilvl w:val="0"/>
                <w:numId w:val="5"/>
              </w:numPr>
              <w:rPr>
                <w:rFonts w:eastAsia="Times New Roman" w:cstheme="minorHAnsi"/>
                <w:b/>
                <w:lang w:val="en-US"/>
              </w:rPr>
            </w:pPr>
            <w:r w:rsidRPr="000646D1">
              <w:rPr>
                <w:rFonts w:eastAsia="Times New Roman" w:cstheme="minorHAnsi"/>
                <w:b/>
                <w:lang w:val="en-US"/>
              </w:rPr>
              <w:t>Because the topics of the Monographs vary widely, everyone in the Group must be scientifically versatile and flexible.</w:t>
            </w:r>
          </w:p>
          <w:p w:rsidR="000646D1" w:rsidRDefault="000646D1" w:rsidP="000646D1">
            <w:pPr>
              <w:pStyle w:val="Listenabsatz"/>
              <w:numPr>
                <w:ilvl w:val="0"/>
                <w:numId w:val="5"/>
              </w:numPr>
              <w:rPr>
                <w:rFonts w:eastAsia="Times New Roman" w:cstheme="minorHAnsi"/>
                <w:b/>
                <w:lang w:val="en-US"/>
              </w:rPr>
            </w:pPr>
            <w:r w:rsidRPr="000646D1">
              <w:rPr>
                <w:rFonts w:eastAsia="Times New Roman" w:cstheme="minorHAnsi"/>
                <w:b/>
                <w:lang w:val="en-US"/>
              </w:rPr>
              <w:t>Familiarity with Internet tools for file-sharing and bibliographic software (e.g. EndNote, advanced features of PubMed).</w:t>
            </w:r>
          </w:p>
          <w:p w:rsidR="000646D1" w:rsidRPr="000646D1" w:rsidRDefault="000646D1" w:rsidP="000646D1">
            <w:pPr>
              <w:rPr>
                <w:rFonts w:eastAsia="Times New Roman" w:cstheme="minorHAnsi"/>
                <w:b/>
                <w:lang w:val="en-US"/>
              </w:rPr>
            </w:pPr>
          </w:p>
          <w:p w:rsidR="000646D1" w:rsidRPr="008D5173" w:rsidRDefault="000646D1" w:rsidP="000646D1">
            <w:pPr>
              <w:rPr>
                <w:rFonts w:eastAsia="Times New Roman" w:cstheme="minorHAnsi"/>
                <w:b/>
                <w:u w:val="single"/>
                <w:lang w:val="en-US"/>
              </w:rPr>
            </w:pPr>
            <w:r w:rsidRPr="008D5173">
              <w:rPr>
                <w:rFonts w:eastAsia="Times New Roman" w:cstheme="minorHAnsi"/>
                <w:b/>
                <w:u w:val="single"/>
                <w:lang w:val="en-US"/>
              </w:rPr>
              <w:t>WHO Competencies</w:t>
            </w:r>
          </w:p>
          <w:p w:rsidR="000646D1" w:rsidRPr="008D5173" w:rsidRDefault="000646D1" w:rsidP="008D5173">
            <w:pPr>
              <w:pStyle w:val="Listenabsatz"/>
              <w:numPr>
                <w:ilvl w:val="0"/>
                <w:numId w:val="5"/>
              </w:numPr>
              <w:ind w:left="714" w:hanging="357"/>
              <w:rPr>
                <w:rFonts w:eastAsia="Times New Roman" w:cstheme="minorHAnsi"/>
                <w:b/>
                <w:lang w:val="en-US"/>
              </w:rPr>
            </w:pPr>
            <w:r w:rsidRPr="008D5173">
              <w:rPr>
                <w:rFonts w:eastAsia="Times New Roman" w:cstheme="minorHAnsi"/>
                <w:b/>
                <w:lang w:val="en-US"/>
              </w:rPr>
              <w:t>Producing results</w:t>
            </w:r>
          </w:p>
          <w:p w:rsidR="000646D1" w:rsidRPr="008D5173" w:rsidRDefault="000646D1" w:rsidP="008D5173">
            <w:pPr>
              <w:pStyle w:val="Listenabsatz"/>
              <w:numPr>
                <w:ilvl w:val="0"/>
                <w:numId w:val="5"/>
              </w:numPr>
              <w:ind w:left="714" w:hanging="357"/>
              <w:rPr>
                <w:rFonts w:eastAsia="Times New Roman" w:cstheme="minorHAnsi"/>
                <w:b/>
                <w:lang w:val="en-US"/>
              </w:rPr>
            </w:pPr>
            <w:r w:rsidRPr="008D5173">
              <w:rPr>
                <w:rFonts w:eastAsia="Times New Roman" w:cstheme="minorHAnsi"/>
                <w:b/>
                <w:lang w:val="en-US"/>
              </w:rPr>
              <w:t>Moving forward in a changing environment</w:t>
            </w:r>
          </w:p>
          <w:p w:rsidR="000646D1" w:rsidRPr="008D5173" w:rsidRDefault="000646D1" w:rsidP="008D5173">
            <w:pPr>
              <w:pStyle w:val="Listenabsatz"/>
              <w:numPr>
                <w:ilvl w:val="0"/>
                <w:numId w:val="5"/>
              </w:numPr>
              <w:ind w:left="714" w:hanging="357"/>
              <w:rPr>
                <w:rFonts w:eastAsia="Times New Roman" w:cstheme="minorHAnsi"/>
                <w:b/>
                <w:lang w:val="en-US"/>
              </w:rPr>
            </w:pPr>
            <w:r w:rsidRPr="008D5173">
              <w:rPr>
                <w:rFonts w:eastAsia="Times New Roman" w:cstheme="minorHAnsi"/>
                <w:b/>
                <w:lang w:val="en-US"/>
              </w:rPr>
              <w:t>Fostering integration and teamwork</w:t>
            </w:r>
          </w:p>
          <w:p w:rsidR="000646D1" w:rsidRPr="008D5173" w:rsidRDefault="000646D1" w:rsidP="008D5173">
            <w:pPr>
              <w:pStyle w:val="Listenabsatz"/>
              <w:numPr>
                <w:ilvl w:val="0"/>
                <w:numId w:val="5"/>
              </w:numPr>
              <w:ind w:left="714" w:hanging="357"/>
              <w:rPr>
                <w:rFonts w:eastAsia="Times New Roman" w:cstheme="minorHAnsi"/>
                <w:b/>
                <w:lang w:val="en-US"/>
              </w:rPr>
            </w:pPr>
            <w:r w:rsidRPr="008D5173">
              <w:rPr>
                <w:rFonts w:eastAsia="Times New Roman" w:cstheme="minorHAnsi"/>
                <w:b/>
                <w:lang w:val="en-US"/>
              </w:rPr>
              <w:t>Respecting and promoting individual and cultural differences</w:t>
            </w:r>
          </w:p>
          <w:p w:rsidR="000646D1" w:rsidRPr="008D5173" w:rsidRDefault="000646D1" w:rsidP="008D5173">
            <w:pPr>
              <w:pStyle w:val="Listenabsatz"/>
              <w:numPr>
                <w:ilvl w:val="0"/>
                <w:numId w:val="5"/>
              </w:numPr>
              <w:ind w:left="714" w:hanging="357"/>
              <w:rPr>
                <w:rFonts w:eastAsia="Times New Roman" w:cstheme="minorHAnsi"/>
                <w:b/>
                <w:lang w:val="en-US"/>
              </w:rPr>
            </w:pPr>
            <w:r w:rsidRPr="008D5173">
              <w:rPr>
                <w:rFonts w:eastAsia="Times New Roman" w:cstheme="minorHAnsi"/>
                <w:b/>
                <w:lang w:val="en-US"/>
              </w:rPr>
              <w:t>Communicating in a credible and effective way</w:t>
            </w:r>
          </w:p>
          <w:p w:rsidR="000646D1" w:rsidRDefault="000646D1" w:rsidP="008D5173">
            <w:pPr>
              <w:pStyle w:val="Listenabsatz"/>
              <w:numPr>
                <w:ilvl w:val="0"/>
                <w:numId w:val="5"/>
              </w:numPr>
              <w:ind w:left="714" w:hanging="357"/>
              <w:rPr>
                <w:rFonts w:eastAsia="Times New Roman" w:cstheme="minorHAnsi"/>
                <w:b/>
                <w:lang w:val="en-US"/>
              </w:rPr>
            </w:pPr>
            <w:r w:rsidRPr="008D5173">
              <w:rPr>
                <w:rFonts w:eastAsia="Times New Roman" w:cstheme="minorHAnsi"/>
                <w:b/>
                <w:lang w:val="en-US"/>
              </w:rPr>
              <w:t>Knowing and managing yourself</w:t>
            </w:r>
          </w:p>
          <w:p w:rsidR="008D5173" w:rsidRDefault="008D5173" w:rsidP="008D5173">
            <w:pPr>
              <w:rPr>
                <w:rFonts w:eastAsia="Times New Roman" w:cstheme="minorHAnsi"/>
                <w:b/>
                <w:lang w:val="en-US"/>
              </w:rPr>
            </w:pPr>
          </w:p>
          <w:p w:rsidR="008D5173" w:rsidRPr="008D5173" w:rsidRDefault="008D5173" w:rsidP="008D5173">
            <w:pPr>
              <w:rPr>
                <w:rFonts w:eastAsia="Times New Roman" w:cstheme="minorHAnsi"/>
                <w:b/>
                <w:u w:val="single"/>
                <w:lang w:val="en-US"/>
              </w:rPr>
            </w:pPr>
            <w:r w:rsidRPr="008D5173">
              <w:rPr>
                <w:rFonts w:eastAsia="Times New Roman" w:cstheme="minorHAnsi"/>
                <w:b/>
                <w:u w:val="single"/>
                <w:lang w:val="en-US"/>
              </w:rPr>
              <w:t>Language Skills</w:t>
            </w:r>
          </w:p>
          <w:p w:rsidR="008D5173" w:rsidRPr="008D5173" w:rsidRDefault="008D5173" w:rsidP="008D5173">
            <w:pPr>
              <w:pStyle w:val="Listenabsatz"/>
              <w:numPr>
                <w:ilvl w:val="0"/>
                <w:numId w:val="5"/>
              </w:numPr>
              <w:ind w:left="714" w:hanging="357"/>
              <w:rPr>
                <w:rFonts w:eastAsia="Times New Roman" w:cstheme="minorHAnsi"/>
                <w:b/>
                <w:lang w:val="en-US"/>
              </w:rPr>
            </w:pPr>
            <w:r w:rsidRPr="008D5173">
              <w:rPr>
                <w:rFonts w:eastAsia="Times New Roman" w:cstheme="minorHAnsi"/>
                <w:b/>
                <w:lang w:val="en-US"/>
              </w:rPr>
              <w:t>Expert knowledge of English is essential (read, written and spoken).</w:t>
            </w:r>
          </w:p>
          <w:p w:rsidR="008D5173" w:rsidRPr="008D5173" w:rsidRDefault="008D5173" w:rsidP="008D5173">
            <w:pPr>
              <w:pStyle w:val="Listenabsatz"/>
              <w:numPr>
                <w:ilvl w:val="0"/>
                <w:numId w:val="5"/>
              </w:numPr>
              <w:ind w:left="714" w:hanging="357"/>
              <w:rPr>
                <w:rFonts w:eastAsia="Times New Roman" w:cstheme="minorHAnsi"/>
                <w:b/>
                <w:lang w:val="en-US"/>
              </w:rPr>
            </w:pPr>
            <w:r w:rsidRPr="008D5173">
              <w:rPr>
                <w:rFonts w:eastAsia="Times New Roman" w:cstheme="minorHAnsi"/>
                <w:b/>
                <w:lang w:val="en-US"/>
              </w:rPr>
              <w:t>Knowledge of French is desirable.</w:t>
            </w:r>
          </w:p>
          <w:p w:rsidR="000646D1" w:rsidRPr="000646D1" w:rsidRDefault="000646D1" w:rsidP="000646D1">
            <w:pPr>
              <w:rPr>
                <w:rFonts w:eastAsia="Times New Roman" w:cstheme="minorHAnsi"/>
                <w:b/>
                <w:lang w:val="en-US"/>
              </w:rPr>
            </w:pPr>
          </w:p>
        </w:tc>
      </w:tr>
      <w:tr w:rsidR="008D5173" w:rsidRPr="00FD17C6" w:rsidTr="00FD17C6">
        <w:tc>
          <w:tcPr>
            <w:tcW w:w="2720" w:type="dxa"/>
          </w:tcPr>
          <w:p w:rsidR="00FD17C6" w:rsidRPr="00FD17C6" w:rsidRDefault="00FD17C6" w:rsidP="00FD17C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lastRenderedPageBreak/>
              <w:t>Datum der Anzeige</w:t>
            </w:r>
            <w:r w:rsidR="00E1383B">
              <w:rPr>
                <w:rFonts w:eastAsia="Times New Roman" w:cstheme="minorHAnsi"/>
                <w:b/>
              </w:rPr>
              <w:t xml:space="preserve"> </w:t>
            </w:r>
            <w:r w:rsidRPr="00FD17C6">
              <w:rPr>
                <w:rFonts w:eastAsia="Times New Roman" w:cstheme="minorHAnsi"/>
                <w:b/>
              </w:rPr>
              <w:t>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FD17C6" w:rsidRPr="00FD17C6" w:rsidRDefault="00EB06E7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28 April 2020</w:t>
            </w:r>
          </w:p>
        </w:tc>
      </w:tr>
      <w:tr w:rsidR="008D5173" w:rsidRPr="00FD17C6" w:rsidTr="00FD17C6">
        <w:tc>
          <w:tcPr>
            <w:tcW w:w="2720" w:type="dxa"/>
          </w:tcPr>
          <w:p w:rsidR="00C650F8" w:rsidRPr="00FD17C6" w:rsidRDefault="00C650F8" w:rsidP="00933ECC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Link zur Stellenaus-schreibung</w:t>
            </w:r>
            <w:r w:rsidR="00E1383B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</w:rPr>
              <w:t xml:space="preserve">/ </w:t>
            </w:r>
            <w:r w:rsidR="008E7B71">
              <w:rPr>
                <w:rFonts w:eastAsia="Times New Roman" w:cstheme="minorHAnsi"/>
                <w:b/>
              </w:rPr>
              <w:t xml:space="preserve">                    </w:t>
            </w:r>
            <w:r>
              <w:rPr>
                <w:rFonts w:eastAsia="Times New Roman" w:cstheme="minorHAnsi"/>
                <w:b/>
              </w:rPr>
              <w:t xml:space="preserve">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933ECC">
              <w:rPr>
                <w:rFonts w:eastAsia="Times New Roman" w:cstheme="minorHAnsi"/>
                <w:b/>
              </w:rPr>
              <w:t>job</w:t>
            </w:r>
            <w:proofErr w:type="spellEnd"/>
            <w:r w:rsidR="00933ECC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933ECC">
              <w:rPr>
                <w:rFonts w:eastAsia="Times New Roman" w:cstheme="minorHAnsi"/>
                <w:b/>
              </w:rPr>
              <w:t>posting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C650F8" w:rsidRPr="00FD17C6" w:rsidRDefault="008A03BD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8A03BD">
              <w:rPr>
                <w:rFonts w:eastAsia="Times New Roman" w:cstheme="minorHAnsi"/>
                <w:b/>
                <w:bCs/>
                <w:lang w:eastAsia="de-DE"/>
              </w:rPr>
              <w:t>https://bit.ly/2WrZspJ</w:t>
            </w:r>
          </w:p>
        </w:tc>
      </w:tr>
    </w:tbl>
    <w:p w:rsidR="00F7764B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p w:rsidR="008D5173" w:rsidRPr="008D5173" w:rsidRDefault="008D5173" w:rsidP="008D5173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FF0000"/>
          <w:lang w:eastAsia="de-DE"/>
        </w:rPr>
      </w:pPr>
    </w:p>
    <w:p w:rsidR="008D5173" w:rsidRPr="008D5173" w:rsidRDefault="008D5173" w:rsidP="008D5173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FF0000"/>
          <w:lang w:eastAsia="de-DE"/>
        </w:rPr>
      </w:pPr>
      <w:r w:rsidRPr="008D5173">
        <w:rPr>
          <w:rFonts w:eastAsia="Times New Roman" w:cstheme="minorHAnsi"/>
          <w:color w:val="FF0000"/>
          <w:lang w:eastAsia="de-DE"/>
        </w:rPr>
        <w:t xml:space="preserve">Der </w:t>
      </w:r>
      <w:r w:rsidR="008A03BD">
        <w:rPr>
          <w:rFonts w:eastAsia="Times New Roman" w:cstheme="minorHAnsi"/>
          <w:color w:val="FF0000"/>
          <w:lang w:eastAsia="de-DE"/>
        </w:rPr>
        <w:t xml:space="preserve">volle </w:t>
      </w:r>
      <w:r w:rsidRPr="008D5173">
        <w:rPr>
          <w:rFonts w:eastAsia="Times New Roman" w:cstheme="minorHAnsi"/>
          <w:color w:val="FF0000"/>
          <w:lang w:eastAsia="de-DE"/>
        </w:rPr>
        <w:t xml:space="preserve">Link lautet </w:t>
      </w:r>
      <w:hyperlink r:id="rId8" w:history="1">
        <w:r w:rsidRPr="008D5173">
          <w:rPr>
            <w:rStyle w:val="Hyperlink"/>
            <w:rFonts w:eastAsia="Times New Roman" w:cstheme="minorHAnsi"/>
            <w:color w:val="FF0000"/>
            <w:lang w:eastAsia="de-DE"/>
          </w:rPr>
          <w:t>https://careers.who.int/careersection/ex/jobdetail.ftl?job=2001979&amp;tz=GMT%2B02%3A00&amp;tzname=Europe%2FParis</w:t>
        </w:r>
      </w:hyperlink>
    </w:p>
    <w:sectPr w:rsidR="008D5173" w:rsidRPr="008D51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6E5"/>
    <w:multiLevelType w:val="hybridMultilevel"/>
    <w:tmpl w:val="79F63D38"/>
    <w:lvl w:ilvl="0" w:tplc="D29C5126">
      <w:start w:val="1"/>
      <w:numFmt w:val="decimal"/>
      <w:lvlText w:val="%1)"/>
      <w:lvlJc w:val="left"/>
      <w:pPr>
        <w:ind w:left="3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35" w:hanging="360"/>
      </w:pPr>
    </w:lvl>
    <w:lvl w:ilvl="2" w:tplc="0407001B" w:tentative="1">
      <w:start w:val="1"/>
      <w:numFmt w:val="lowerRoman"/>
      <w:lvlText w:val="%3."/>
      <w:lvlJc w:val="right"/>
      <w:pPr>
        <w:ind w:left="1755" w:hanging="180"/>
      </w:pPr>
    </w:lvl>
    <w:lvl w:ilvl="3" w:tplc="0407000F" w:tentative="1">
      <w:start w:val="1"/>
      <w:numFmt w:val="decimal"/>
      <w:lvlText w:val="%4."/>
      <w:lvlJc w:val="left"/>
      <w:pPr>
        <w:ind w:left="2475" w:hanging="360"/>
      </w:pPr>
    </w:lvl>
    <w:lvl w:ilvl="4" w:tplc="04070019" w:tentative="1">
      <w:start w:val="1"/>
      <w:numFmt w:val="lowerLetter"/>
      <w:lvlText w:val="%5."/>
      <w:lvlJc w:val="left"/>
      <w:pPr>
        <w:ind w:left="3195" w:hanging="360"/>
      </w:pPr>
    </w:lvl>
    <w:lvl w:ilvl="5" w:tplc="0407001B" w:tentative="1">
      <w:start w:val="1"/>
      <w:numFmt w:val="lowerRoman"/>
      <w:lvlText w:val="%6."/>
      <w:lvlJc w:val="right"/>
      <w:pPr>
        <w:ind w:left="3915" w:hanging="180"/>
      </w:pPr>
    </w:lvl>
    <w:lvl w:ilvl="6" w:tplc="0407000F" w:tentative="1">
      <w:start w:val="1"/>
      <w:numFmt w:val="decimal"/>
      <w:lvlText w:val="%7."/>
      <w:lvlJc w:val="left"/>
      <w:pPr>
        <w:ind w:left="4635" w:hanging="360"/>
      </w:pPr>
    </w:lvl>
    <w:lvl w:ilvl="7" w:tplc="04070019" w:tentative="1">
      <w:start w:val="1"/>
      <w:numFmt w:val="lowerLetter"/>
      <w:lvlText w:val="%8."/>
      <w:lvlJc w:val="left"/>
      <w:pPr>
        <w:ind w:left="5355" w:hanging="360"/>
      </w:pPr>
    </w:lvl>
    <w:lvl w:ilvl="8" w:tplc="0407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 w15:restartNumberingAfterBreak="0">
    <w:nsid w:val="1F384CB4"/>
    <w:multiLevelType w:val="hybridMultilevel"/>
    <w:tmpl w:val="6D167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267A4">
      <w:start w:val="1"/>
      <w:numFmt w:val="bullet"/>
      <w:lvlText w:val="-"/>
      <w:lvlJc w:val="left"/>
      <w:pPr>
        <w:ind w:left="1440" w:hanging="360"/>
      </w:pPr>
      <w:rPr>
        <w:rFonts w:ascii="ArialMT" w:eastAsiaTheme="minorHAnsi" w:hAnsi="ArialMT" w:cs="ArialM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E2DF8"/>
    <w:multiLevelType w:val="hybridMultilevel"/>
    <w:tmpl w:val="026E6D1C"/>
    <w:lvl w:ilvl="0" w:tplc="D29C5126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CC56FC"/>
    <w:multiLevelType w:val="hybridMultilevel"/>
    <w:tmpl w:val="7B6AF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1748A"/>
    <w:multiLevelType w:val="hybridMultilevel"/>
    <w:tmpl w:val="2AC05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53B0A"/>
    <w:multiLevelType w:val="hybridMultilevel"/>
    <w:tmpl w:val="64F2F8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646D1"/>
    <w:rsid w:val="002B249E"/>
    <w:rsid w:val="003C01C3"/>
    <w:rsid w:val="007D46CF"/>
    <w:rsid w:val="008A03BD"/>
    <w:rsid w:val="008D5173"/>
    <w:rsid w:val="008E7B71"/>
    <w:rsid w:val="009059DC"/>
    <w:rsid w:val="00933ECC"/>
    <w:rsid w:val="00A61D84"/>
    <w:rsid w:val="00B32413"/>
    <w:rsid w:val="00B53A02"/>
    <w:rsid w:val="00C650F8"/>
    <w:rsid w:val="00D220C8"/>
    <w:rsid w:val="00E1383B"/>
    <w:rsid w:val="00EB06E7"/>
    <w:rsid w:val="00F7764B"/>
    <w:rsid w:val="00F90443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AD1B898-F298-4FE9-9784-0FD67E9A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A03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who.int/careersection/ex/jobdetail.ftl?job=2001979&amp;tz=GMT%2B02%3A00&amp;tzname=Europe%2FParis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4CE7-FFF8-4CFA-A959-9824E9A1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4601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Buechele</dc:creator>
  <cp:lastModifiedBy>Nicole Kroll</cp:lastModifiedBy>
  <cp:revision>2</cp:revision>
  <cp:lastPrinted>2017-05-02T10:01:00Z</cp:lastPrinted>
  <dcterms:created xsi:type="dcterms:W3CDTF">2020-05-05T12:23:00Z</dcterms:created>
  <dcterms:modified xsi:type="dcterms:W3CDTF">2020-05-05T12:23:00Z</dcterms:modified>
</cp:coreProperties>
</file>