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8D7F" w14:textId="77777777" w:rsidR="007D46CF" w:rsidRPr="00FD17C6" w:rsidRDefault="00303818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 w14:anchorId="7944A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9528374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14:paraId="7E851762" w14:textId="77777777" w:rsidTr="00FD17C6">
        <w:tc>
          <w:tcPr>
            <w:tcW w:w="2720" w:type="dxa"/>
          </w:tcPr>
          <w:p w14:paraId="06EFE2F5" w14:textId="18E79584" w:rsidR="007D46CF" w:rsidRPr="00FD17C6" w:rsidRDefault="007D46CF" w:rsidP="00C62279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bookmarkStart w:id="0" w:name="_GoBack" w:colFirst="1" w:colLast="1"/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1B3FF12A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cstheme="minorHAnsi"/>
                <w:color w:val="535356"/>
                <w:lang w:val="en-US"/>
              </w:rPr>
            </w:pPr>
            <w:r w:rsidRPr="00C62279">
              <w:rPr>
                <w:rFonts w:cstheme="minorHAnsi"/>
                <w:color w:val="535356"/>
                <w:lang w:val="en-US"/>
              </w:rPr>
              <w:t>DOCTORAL CANDIDATE IN PUBLIC HEALTH/</w:t>
            </w:r>
          </w:p>
          <w:p w14:paraId="3BE29544" w14:textId="7F13A701" w:rsidR="007D46CF" w:rsidRPr="00C62279" w:rsidRDefault="00C62279" w:rsidP="00C62279">
            <w:pPr>
              <w:rPr>
                <w:rFonts w:eastAsia="Times New Roman" w:cstheme="minorHAnsi"/>
                <w:lang w:val="en-US" w:eastAsia="de-DE"/>
              </w:rPr>
            </w:pPr>
            <w:r w:rsidRPr="00C62279">
              <w:rPr>
                <w:rFonts w:cstheme="minorHAnsi"/>
                <w:color w:val="535356"/>
                <w:lang w:val="de-AT"/>
              </w:rPr>
              <w:t>EPIDEMIOLOGY/ SOCIAL PRESCRIBING</w:t>
            </w:r>
          </w:p>
        </w:tc>
      </w:tr>
      <w:bookmarkEnd w:id="0"/>
      <w:tr w:rsidR="007D46CF" w:rsidRPr="00FD17C6" w14:paraId="492F46A4" w14:textId="77777777" w:rsidTr="00FD17C6">
        <w:tc>
          <w:tcPr>
            <w:tcW w:w="2720" w:type="dxa"/>
          </w:tcPr>
          <w:p w14:paraId="52DF07F5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88B91C6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Times New Roman" w:cstheme="minorHAnsi"/>
                <w:lang w:val="en-US" w:eastAsia="de-DE"/>
              </w:rPr>
              <w:t>UMIT TIROL</w:t>
            </w:r>
            <w:r w:rsidRPr="00C62279">
              <w:rPr>
                <w:rFonts w:eastAsia="Times New Roman" w:cstheme="minorHAnsi"/>
                <w:lang w:val="en-US" w:eastAsia="de-DE"/>
              </w:rPr>
              <w:br/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Institute of Public Health, Medical Decision Making and Health Technology Assessment, UMIT – University for Health Sciences,</w:t>
            </w:r>
          </w:p>
          <w:p w14:paraId="5141177F" w14:textId="3D6418D8" w:rsidR="007D46CF" w:rsidRPr="00C62279" w:rsidRDefault="00C62279" w:rsidP="00C62279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GillSansNova-Book" w:cstheme="minorHAnsi"/>
                <w:color w:val="535356"/>
                <w:lang w:val="de-AT"/>
              </w:rPr>
              <w:t xml:space="preserve">Medical </w:t>
            </w:r>
            <w:proofErr w:type="spellStart"/>
            <w:r w:rsidRPr="00C62279">
              <w:rPr>
                <w:rFonts w:eastAsia="GillSansNova-Book" w:cstheme="minorHAnsi"/>
                <w:color w:val="535356"/>
                <w:lang w:val="de-AT"/>
              </w:rPr>
              <w:t>Informatics</w:t>
            </w:r>
            <w:proofErr w:type="spellEnd"/>
            <w:r w:rsidRPr="00C62279">
              <w:rPr>
                <w:rFonts w:eastAsia="GillSansNova-Book" w:cstheme="minorHAnsi"/>
                <w:color w:val="535356"/>
                <w:lang w:val="de-AT"/>
              </w:rPr>
              <w:t xml:space="preserve"> </w:t>
            </w:r>
            <w:proofErr w:type="spellStart"/>
            <w:r w:rsidRPr="00C62279">
              <w:rPr>
                <w:rFonts w:eastAsia="GillSansNova-Book" w:cstheme="minorHAnsi"/>
                <w:color w:val="535356"/>
                <w:lang w:val="de-AT"/>
              </w:rPr>
              <w:t>and</w:t>
            </w:r>
            <w:proofErr w:type="spellEnd"/>
            <w:r w:rsidRPr="00C62279">
              <w:rPr>
                <w:rFonts w:eastAsia="GillSansNova-Book" w:cstheme="minorHAnsi"/>
                <w:color w:val="535356"/>
                <w:lang w:val="de-AT"/>
              </w:rPr>
              <w:t xml:space="preserve"> Technology</w:t>
            </w:r>
          </w:p>
        </w:tc>
      </w:tr>
      <w:tr w:rsidR="007D46CF" w:rsidRPr="00FD17C6" w14:paraId="4F3F26A4" w14:textId="77777777" w:rsidTr="00FD17C6">
        <w:tc>
          <w:tcPr>
            <w:tcW w:w="2720" w:type="dxa"/>
          </w:tcPr>
          <w:p w14:paraId="35B5E3CF" w14:textId="79C77C3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</w:p>
        </w:tc>
        <w:tc>
          <w:tcPr>
            <w:tcW w:w="6773" w:type="dxa"/>
          </w:tcPr>
          <w:p w14:paraId="1DF15B10" w14:textId="758287B5" w:rsidR="007D46CF" w:rsidRPr="00C62279" w:rsidRDefault="00C62279" w:rsidP="00F7764B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Times New Roman" w:cstheme="minorHAnsi"/>
                <w:lang w:eastAsia="de-DE"/>
              </w:rPr>
              <w:t>Hall in Tirol</w:t>
            </w:r>
          </w:p>
        </w:tc>
      </w:tr>
      <w:tr w:rsidR="007D46CF" w:rsidRPr="00FD17C6" w14:paraId="1E51F096" w14:textId="77777777" w:rsidTr="00FD17C6">
        <w:tc>
          <w:tcPr>
            <w:tcW w:w="2720" w:type="dxa"/>
          </w:tcPr>
          <w:p w14:paraId="44BA3366" w14:textId="01F4F5C6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</w:p>
        </w:tc>
        <w:tc>
          <w:tcPr>
            <w:tcW w:w="6773" w:type="dxa"/>
          </w:tcPr>
          <w:p w14:paraId="004C744C" w14:textId="77777777" w:rsidR="00C62279" w:rsidRPr="00C62279" w:rsidRDefault="00C62279" w:rsidP="00C62279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Times New Roman" w:cstheme="minorHAnsi"/>
                <w:lang w:eastAsia="de-DE"/>
              </w:rPr>
              <w:t>Vergütungsschema der öffentlichen Universitäten in Österreich</w:t>
            </w:r>
          </w:p>
          <w:p w14:paraId="3652B762" w14:textId="77777777" w:rsidR="007D46CF" w:rsidRPr="00C62279" w:rsidRDefault="007D46CF" w:rsidP="00F7764B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7D46CF" w:rsidRPr="00FD17C6" w14:paraId="0C639414" w14:textId="77777777" w:rsidTr="00FD17C6">
        <w:tc>
          <w:tcPr>
            <w:tcW w:w="2720" w:type="dxa"/>
          </w:tcPr>
          <w:p w14:paraId="488776FE" w14:textId="6ED09E79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</w:p>
        </w:tc>
        <w:tc>
          <w:tcPr>
            <w:tcW w:w="6773" w:type="dxa"/>
          </w:tcPr>
          <w:p w14:paraId="0FECD993" w14:textId="77777777" w:rsidR="007D46CF" w:rsidRPr="00C62279" w:rsidRDefault="007D46CF" w:rsidP="00F7764B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7D46CF" w:rsidRPr="00C62279" w14:paraId="37AB5E5A" w14:textId="77777777" w:rsidTr="00FD17C6">
        <w:tc>
          <w:tcPr>
            <w:tcW w:w="2720" w:type="dxa"/>
          </w:tcPr>
          <w:p w14:paraId="6334752B" w14:textId="7B3411FC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</w:p>
        </w:tc>
        <w:tc>
          <w:tcPr>
            <w:tcW w:w="6773" w:type="dxa"/>
          </w:tcPr>
          <w:p w14:paraId="6E7FCB69" w14:textId="1016431B" w:rsidR="007D46CF" w:rsidRPr="00C62279" w:rsidRDefault="00C62279" w:rsidP="00F7764B">
            <w:pPr>
              <w:rPr>
                <w:rFonts w:eastAsia="Times New Roman" w:cstheme="minorHAnsi"/>
                <w:lang w:val="en-US" w:eastAsia="de-DE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At first, the position is for 2 years, an extension is possible</w:t>
            </w:r>
          </w:p>
        </w:tc>
      </w:tr>
      <w:tr w:rsidR="007D46CF" w:rsidRPr="00FD17C6" w14:paraId="3EE1EDDE" w14:textId="77777777" w:rsidTr="00FD17C6">
        <w:tc>
          <w:tcPr>
            <w:tcW w:w="2720" w:type="dxa"/>
          </w:tcPr>
          <w:p w14:paraId="444F690E" w14:textId="5D49121E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</w:p>
        </w:tc>
        <w:tc>
          <w:tcPr>
            <w:tcW w:w="6773" w:type="dxa"/>
          </w:tcPr>
          <w:p w14:paraId="357E0711" w14:textId="18047667" w:rsidR="007D46CF" w:rsidRPr="00C62279" w:rsidRDefault="00C62279" w:rsidP="00E139F5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Times New Roman" w:cstheme="minorHAnsi"/>
                <w:lang w:eastAsia="de-DE"/>
              </w:rPr>
              <w:t xml:space="preserve">31 </w:t>
            </w:r>
            <w:proofErr w:type="spellStart"/>
            <w:r w:rsidRPr="00C62279">
              <w:rPr>
                <w:rFonts w:eastAsia="Times New Roman" w:cstheme="minorHAnsi"/>
                <w:lang w:eastAsia="de-DE"/>
              </w:rPr>
              <w:t>October</w:t>
            </w:r>
            <w:proofErr w:type="spellEnd"/>
            <w:r w:rsidRPr="00C62279">
              <w:rPr>
                <w:rFonts w:eastAsia="Times New Roman" w:cstheme="minorHAnsi"/>
                <w:lang w:eastAsia="de-DE"/>
              </w:rPr>
              <w:t xml:space="preserve"> 2021</w:t>
            </w:r>
          </w:p>
        </w:tc>
      </w:tr>
      <w:tr w:rsidR="007D46CF" w:rsidRPr="00C62279" w14:paraId="60A8E83C" w14:textId="77777777" w:rsidTr="00FD17C6">
        <w:tc>
          <w:tcPr>
            <w:tcW w:w="2720" w:type="dxa"/>
          </w:tcPr>
          <w:p w14:paraId="7C6F3D8E" w14:textId="262BB06C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</w:p>
        </w:tc>
        <w:tc>
          <w:tcPr>
            <w:tcW w:w="6773" w:type="dxa"/>
          </w:tcPr>
          <w:p w14:paraId="52995D9B" w14:textId="241A9623" w:rsidR="007D46CF" w:rsidRPr="00C62279" w:rsidRDefault="00C62279" w:rsidP="00E139F5">
            <w:pPr>
              <w:rPr>
                <w:rFonts w:eastAsia="Times New Roman" w:cstheme="minorHAnsi"/>
                <w:lang w:val="en-US" w:eastAsia="de-DE"/>
              </w:rPr>
            </w:pPr>
            <w:r w:rsidRPr="00C62279">
              <w:rPr>
                <w:rFonts w:eastAsia="Times New Roman" w:cstheme="minorHAnsi"/>
                <w:lang w:val="en-US" w:eastAsia="de-DE"/>
              </w:rPr>
              <w:t xml:space="preserve">Assoc. Prof. Dr. Ursula Rochau, </w:t>
            </w:r>
            <w:hyperlink r:id="rId7" w:history="1">
              <w:r w:rsidRPr="00C62279">
                <w:rPr>
                  <w:rStyle w:val="Hyperlink"/>
                  <w:rFonts w:eastAsia="Times New Roman" w:cstheme="minorHAnsi"/>
                  <w:lang w:val="en-US" w:eastAsia="de-DE"/>
                </w:rPr>
                <w:t>ursula.rochau@umit-tirol.at</w:t>
              </w:r>
            </w:hyperlink>
          </w:p>
        </w:tc>
      </w:tr>
      <w:tr w:rsidR="007D46CF" w:rsidRPr="00C62279" w14:paraId="1CAF9B5B" w14:textId="77777777" w:rsidTr="00FD17C6">
        <w:tc>
          <w:tcPr>
            <w:tcW w:w="2720" w:type="dxa"/>
          </w:tcPr>
          <w:p w14:paraId="4AE23956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09E2BBE" w14:textId="766712A3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 xml:space="preserve">RECETAS addresses loneliness, a modifiable health condition that </w:t>
            </w:r>
            <w:proofErr w:type="gramStart"/>
            <w:r w:rsidRPr="00C62279">
              <w:rPr>
                <w:rFonts w:eastAsia="GillSansNova-Book" w:cstheme="minorHAnsi"/>
                <w:color w:val="535356"/>
                <w:lang w:val="en-US"/>
              </w:rPr>
              <w:t>is known</w:t>
            </w:r>
            <w:proofErr w:type="gramEnd"/>
            <w:r w:rsidRPr="00C62279">
              <w:rPr>
                <w:rFonts w:eastAsia="GillSansNova-Book" w:cstheme="minorHAnsi"/>
                <w:color w:val="535356"/>
                <w:lang w:val="en-US"/>
              </w:rPr>
              <w:t xml:space="preserve"> to shorten one´s lifespan and may be as dangerous to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one’s health as smoking or obesity. RECETAS explores loneliness through a transdisciplinary lens, integrating social, behavioral,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 xml:space="preserve">health, and natural sciences, and </w:t>
            </w:r>
            <w:proofErr w:type="gramStart"/>
            <w:r w:rsidRPr="00C62279">
              <w:rPr>
                <w:rFonts w:eastAsia="GillSansNova-Book" w:cstheme="minorHAnsi"/>
                <w:color w:val="535356"/>
                <w:lang w:val="en-US"/>
              </w:rPr>
              <w:t>is grounded</w:t>
            </w:r>
            <w:proofErr w:type="gramEnd"/>
            <w:r w:rsidRPr="00C62279">
              <w:rPr>
                <w:rFonts w:eastAsia="GillSansNova-Book" w:cstheme="minorHAnsi"/>
                <w:color w:val="535356"/>
                <w:lang w:val="en-US"/>
              </w:rPr>
              <w:t xml:space="preserve"> in participatory principles. It will use randomized controlled trials (RCT) and other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epidemiologic, causal, anthropological and health economic methods to test socially- and culturally-innovative nature-based social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prescribing (NBSP) as a socio-environmental antidote to loneliness.</w:t>
            </w:r>
          </w:p>
          <w:p w14:paraId="523D1D9A" w14:textId="7F66004B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Social prescribing consists of care professionals and lonely people identifying community activities that can improve their health and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wellbeing.</w:t>
            </w:r>
          </w:p>
          <w:p w14:paraId="2A10DC12" w14:textId="312F6FFD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The UMIT TIROL Institute of Public Health, Medical Decision Making and Health Technology Assessment (IPH) contributes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advanced methods in Health Data &amp; Decision Science and Causal Inference to the analysis of the randomized trial results. In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addition, IPH leads the Work Package 5 on the assessment of the benefit-harm balance and cost-effectiveness of nature-based social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prescribing strategies.</w:t>
            </w:r>
          </w:p>
          <w:p w14:paraId="28B9DB6D" w14:textId="21438F8C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UMIT – University for Health Sciences, Medical Informatics and Technology is an accredited private university owned by the Federal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State of Tyrol and the University of Innsbruck with its headquarters in Hall in Tirol/ Austria. UMIT TIROL is an internationally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renowned university focusing on Health Sciences, Life Sciences and Health Care Technologies.</w:t>
            </w:r>
          </w:p>
          <w:p w14:paraId="7D23A735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b/>
                <w:bCs/>
                <w:color w:val="535356"/>
                <w:lang w:val="en-US"/>
              </w:rPr>
              <w:t>Responsibilities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:</w:t>
            </w:r>
          </w:p>
          <w:p w14:paraId="6C8E54ED" w14:textId="10B4180E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Working on national and international research projects (main fields: Public Health, Epidemiology, Outcomes Research,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Health Data &amp; Decision Science, Health Technology Assessment for National Health Authorities, Clinical Guideline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Development, Prevention, Social Prescribing)</w:t>
            </w:r>
          </w:p>
          <w:p w14:paraId="2B987DC6" w14:textId="1BC7070C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Performing scientific analyses (systematic review, statistical/epidemiological data analysis, decision-analytic modeling,</w:t>
            </w:r>
            <w:r>
              <w:rPr>
                <w:rFonts w:eastAsia="GillSansNova-Book" w:cstheme="minorHAnsi"/>
                <w:color w:val="535356"/>
                <w:lang w:val="en-US"/>
              </w:rPr>
              <w:t xml:space="preserve"> 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cost-effectiveness analysis)</w:t>
            </w:r>
          </w:p>
          <w:p w14:paraId="141DD12D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lastRenderedPageBreak/>
              <w:t>▪ Collaborating in development and implementation of quality assurance, data collection, management and preparation</w:t>
            </w:r>
          </w:p>
          <w:p w14:paraId="56EE6052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Conducting interim analyses and reporting as well as participating in publications in international peer-reviewed journals</w:t>
            </w:r>
          </w:p>
          <w:p w14:paraId="11F213BE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Involvement in and contribution to education and training</w:t>
            </w:r>
          </w:p>
          <w:p w14:paraId="0EEC0D5C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Collaboration with the regional, national and international stakeholders in health care</w:t>
            </w:r>
          </w:p>
          <w:p w14:paraId="10C931C8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b/>
                <w:bCs/>
                <w:color w:val="535356"/>
                <w:lang w:val="en-US"/>
              </w:rPr>
              <w:t>Qualification</w:t>
            </w:r>
            <w:r w:rsidRPr="00C62279">
              <w:rPr>
                <w:rFonts w:eastAsia="GillSansNova-Book" w:cstheme="minorHAnsi"/>
                <w:color w:val="535356"/>
                <w:lang w:val="en-US"/>
              </w:rPr>
              <w:t>:</w:t>
            </w:r>
          </w:p>
          <w:p w14:paraId="11877158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Successful candidates will hold a Master degree preferably in public health, epidemiology, biostatistics, or in an equivalent field</w:t>
            </w:r>
          </w:p>
          <w:p w14:paraId="1413EC7A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Additional qualification or experience in quantitative methods in public health/ biomedicine preferred (e.g., data science)</w:t>
            </w:r>
          </w:p>
          <w:p w14:paraId="5B63BDF0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Ability to efficiently manage tasks in parallel, carefully and systematically, and to communicate research results to various</w:t>
            </w:r>
          </w:p>
          <w:p w14:paraId="1C7A942E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audiences</w:t>
            </w:r>
          </w:p>
          <w:p w14:paraId="25936315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A proven ability to work effectively within a team to achieve timely and valued objectives</w:t>
            </w:r>
          </w:p>
          <w:p w14:paraId="224CE337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Commitment to interdisciplinary team-oriented research</w:t>
            </w:r>
          </w:p>
          <w:p w14:paraId="7AB56C80" w14:textId="77777777" w:rsidR="00C62279" w:rsidRPr="00C62279" w:rsidRDefault="00C62279" w:rsidP="00C62279">
            <w:pPr>
              <w:autoSpaceDE w:val="0"/>
              <w:autoSpaceDN w:val="0"/>
              <w:adjustRightInd w:val="0"/>
              <w:rPr>
                <w:rFonts w:eastAsia="GillSansNova-Book" w:cstheme="minorHAnsi"/>
                <w:color w:val="535356"/>
                <w:lang w:val="en-US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Excellent communication skills in English</w:t>
            </w:r>
          </w:p>
          <w:p w14:paraId="63BE7587" w14:textId="1D105B32" w:rsidR="007D46CF" w:rsidRPr="00C62279" w:rsidRDefault="00C62279" w:rsidP="00C62279">
            <w:pPr>
              <w:rPr>
                <w:rFonts w:eastAsia="Times New Roman" w:cstheme="minorHAnsi"/>
                <w:lang w:val="en-US" w:eastAsia="de-DE"/>
              </w:rPr>
            </w:pPr>
            <w:r w:rsidRPr="00C62279">
              <w:rPr>
                <w:rFonts w:eastAsia="GillSansNova-Book" w:cstheme="minorHAnsi"/>
                <w:color w:val="535356"/>
                <w:lang w:val="en-US"/>
              </w:rPr>
              <w:t>▪ Experience in statistical analysis (e.g., with SAS, STATA, R, SPSS) and literature management software (e.g., EndNote)</w:t>
            </w:r>
          </w:p>
        </w:tc>
      </w:tr>
      <w:tr w:rsidR="00FD17C6" w:rsidRPr="00FD17C6" w14:paraId="24BC97D1" w14:textId="77777777" w:rsidTr="00FD17C6">
        <w:tc>
          <w:tcPr>
            <w:tcW w:w="2720" w:type="dxa"/>
          </w:tcPr>
          <w:p w14:paraId="17E7A756" w14:textId="138BADF0"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14:paraId="2D0B4757" w14:textId="017A73FB" w:rsidR="00FD17C6" w:rsidRPr="00C62279" w:rsidRDefault="00C62279" w:rsidP="00F7764B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Times New Roman" w:cstheme="minorHAnsi"/>
                <w:lang w:eastAsia="de-DE"/>
              </w:rPr>
              <w:t>08.10.2021</w:t>
            </w:r>
          </w:p>
        </w:tc>
      </w:tr>
      <w:tr w:rsidR="002A3B44" w:rsidRPr="00FD17C6" w14:paraId="321516AB" w14:textId="77777777" w:rsidTr="00FD17C6">
        <w:tc>
          <w:tcPr>
            <w:tcW w:w="2720" w:type="dxa"/>
          </w:tcPr>
          <w:p w14:paraId="72190424" w14:textId="709C7FFD"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</w:p>
        </w:tc>
        <w:tc>
          <w:tcPr>
            <w:tcW w:w="6773" w:type="dxa"/>
          </w:tcPr>
          <w:p w14:paraId="44C0C367" w14:textId="1E1FFFBD" w:rsidR="002A3B44" w:rsidRPr="00C62279" w:rsidRDefault="00C62279" w:rsidP="002A3B44">
            <w:pPr>
              <w:rPr>
                <w:rFonts w:eastAsia="Times New Roman" w:cstheme="minorHAnsi"/>
                <w:lang w:eastAsia="de-DE"/>
              </w:rPr>
            </w:pPr>
            <w:r w:rsidRPr="00C62279">
              <w:rPr>
                <w:rFonts w:eastAsia="Times New Roman" w:cstheme="minorHAnsi"/>
                <w:lang w:eastAsia="de-DE"/>
              </w:rPr>
              <w:t>Umit-tirol.at/</w:t>
            </w:r>
            <w:proofErr w:type="spellStart"/>
            <w:r w:rsidRPr="00C62279">
              <w:rPr>
                <w:rFonts w:eastAsia="Times New Roman" w:cstheme="minorHAnsi"/>
                <w:lang w:eastAsia="de-DE"/>
              </w:rPr>
              <w:t>stellenangebote</w:t>
            </w:r>
            <w:proofErr w:type="spellEnd"/>
          </w:p>
        </w:tc>
      </w:tr>
    </w:tbl>
    <w:p w14:paraId="6E136633" w14:textId="77777777"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Nova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096019"/>
    <w:rsid w:val="002A3B44"/>
    <w:rsid w:val="002B249E"/>
    <w:rsid w:val="00303818"/>
    <w:rsid w:val="007D46CF"/>
    <w:rsid w:val="00933ECC"/>
    <w:rsid w:val="00C62279"/>
    <w:rsid w:val="00C62C74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1F23D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rochau@umit-tiro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2021-10-09T09:23:00Z</dcterms:created>
  <dcterms:modified xsi:type="dcterms:W3CDTF">2021-10-09T09:23:00Z</dcterms:modified>
</cp:coreProperties>
</file>